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93A57" w:rsidRDefault="00893A57" w:rsidP="001B577C">
      <w:pPr>
        <w:pStyle w:val="1"/>
        <w:rPr>
          <w:rFonts w:hint="eastAsia"/>
        </w:rPr>
      </w:pPr>
      <w:r w:rsidRPr="001B577C">
        <w:rPr>
          <w:rFonts w:hint="eastAsia"/>
        </w:rPr>
        <w:t>关于推动秀洲工业经济高质量发展的思考</w:t>
      </w:r>
    </w:p>
    <w:p w:rsidR="00893A57" w:rsidRDefault="00893A57" w:rsidP="00893A57">
      <w:pPr>
        <w:ind w:firstLineChars="200" w:firstLine="420"/>
      </w:pPr>
      <w:r>
        <w:t>2016</w:t>
      </w:r>
      <w:r>
        <w:t>年以来，秀洲区围绕</w:t>
      </w:r>
      <w:r>
        <w:t>“1331”</w:t>
      </w:r>
      <w:r>
        <w:t>决策部署，以提高经济发展质量和效益为中心，抓好稳增长、促转型等各项工作。今年</w:t>
      </w:r>
      <w:r>
        <w:t>1-9</w:t>
      </w:r>
      <w:r>
        <w:t>月，</w:t>
      </w:r>
      <w:r>
        <w:t>511</w:t>
      </w:r>
      <w:r>
        <w:t>家规上企业实现工业产值</w:t>
      </w:r>
      <w:r>
        <w:t>475</w:t>
      </w:r>
      <w:r>
        <w:t>亿元，同比增长</w:t>
      </w:r>
      <w:r>
        <w:t>11.4%</w:t>
      </w:r>
      <w:r>
        <w:t>，实现工业增加值</w:t>
      </w:r>
      <w:r>
        <w:t>105.2</w:t>
      </w:r>
      <w:r>
        <w:t>亿元，同比增长</w:t>
      </w:r>
      <w:r>
        <w:t>7.5%</w:t>
      </w:r>
      <w:r>
        <w:t>；装备制造业、战略性新兴产业、数字制造业分别实现增加值</w:t>
      </w:r>
      <w:r>
        <w:t>32.4</w:t>
      </w:r>
      <w:r>
        <w:t>亿元、</w:t>
      </w:r>
      <w:r>
        <w:t>36.1</w:t>
      </w:r>
      <w:r>
        <w:t>亿元、</w:t>
      </w:r>
      <w:r>
        <w:t>21.4</w:t>
      </w:r>
      <w:r>
        <w:t>亿元，增速较快；完成</w:t>
      </w:r>
      <w:r>
        <w:t>“</w:t>
      </w:r>
      <w:r>
        <w:t>低散乱</w:t>
      </w:r>
      <w:r>
        <w:t>”</w:t>
      </w:r>
      <w:r>
        <w:t>企业（作坊）整治</w:t>
      </w:r>
      <w:r>
        <w:t>2259</w:t>
      </w:r>
      <w:r>
        <w:t>家，腾退低效用地</w:t>
      </w:r>
      <w:r>
        <w:t>2447.2</w:t>
      </w:r>
      <w:r>
        <w:t>亩，完成率列全市前茅；完成外贸进口</w:t>
      </w:r>
      <w:r>
        <w:t>24.22</w:t>
      </w:r>
      <w:r>
        <w:t>亿元，同比增长</w:t>
      </w:r>
      <w:r>
        <w:t>44.9%</w:t>
      </w:r>
      <w:r>
        <w:t>，增速列全市第一。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到</w:t>
      </w:r>
      <w:r>
        <w:t>2021</w:t>
      </w:r>
      <w:r>
        <w:t>年，力争以</w:t>
      </w:r>
      <w:r>
        <w:t>“</w:t>
      </w:r>
      <w:r>
        <w:t>六提升</w:t>
      </w:r>
      <w:r>
        <w:t>”</w:t>
      </w:r>
      <w:r>
        <w:t>完成以下目标：全区规模以上工业总产值突破</w:t>
      </w:r>
      <w:r>
        <w:t>1000</w:t>
      </w:r>
      <w:r>
        <w:t>亿元，全省工业强县（区）排名进入前</w:t>
      </w:r>
      <w:r>
        <w:t>20</w:t>
      </w:r>
      <w:r>
        <w:t>强；时尚纺织、智能家居、高端装备制造、光伏新能源等四大百亿产业产值实现新突破，战略新兴产业增加值占规模以上工业增加值比重达到</w:t>
      </w:r>
      <w:r>
        <w:t>35%</w:t>
      </w:r>
      <w:r>
        <w:t>，高新技术产业产值占规模以上工业总产值比重达到</w:t>
      </w:r>
      <w:r>
        <w:t>45%</w:t>
      </w:r>
      <w:r>
        <w:t>；制造业与互联网融合发展水平位于全省前列，</w:t>
      </w:r>
      <w:r>
        <w:t>“</w:t>
      </w:r>
      <w:r>
        <w:t>两化</w:t>
      </w:r>
      <w:r>
        <w:t>”</w:t>
      </w:r>
      <w:r>
        <w:t>融合发展指数达到</w:t>
      </w:r>
      <w:r>
        <w:t>85</w:t>
      </w:r>
      <w:r>
        <w:t>以上；腾出有效用地空间</w:t>
      </w:r>
      <w:r>
        <w:t>6000</w:t>
      </w:r>
      <w:r>
        <w:t>亩、用能空间</w:t>
      </w:r>
      <w:r>
        <w:t>20</w:t>
      </w:r>
      <w:r>
        <w:t>万吨标煤以上。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构筑高质量平台，提升承载力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一是主平台争先进。按照“对标先进、争先晋位”工作要求，加快构筑具有强大承载力、竞争力、辐射力的大平台。秀洲国家高新区从提升科技创新、开放合作、产业发展、产城融合、服务五大能力方面找办法、出实招，力争在全国国家高新区综合排名中进入</w:t>
      </w:r>
      <w:r>
        <w:t>50</w:t>
      </w:r>
      <w:r>
        <w:t>强、保持全省前三甲。秀洲经济开发区突出国际化、创新化、集约化三大举措，保持争先进位态势。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二是产业平台创特色。深化镇园区管，打造特色鲜明的产业平台。围绕光伏小镇建设，全力打造国内唯一、国际知名的光伏创新高地。围绕智能制造产业园发展，培育以智能制造为核心的高端装备制造业，加快推进商飞小镇等优质项目落户。围绕航空、光电、食品产业园提升，完善产业规划，加快打造产业集群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三是双创平台对标准。开展“两创”中心星级评定，以星级评定结果正向引导小微企业园提升服务能力和运行绩效，提高产业层次，反向倒逼小微企业园合法、合规经营。新建王店镇集成装饰、王江泾智能家居、高新区高端装备等“两创”中心，新增标准厂房建设面积约</w:t>
      </w:r>
      <w:r>
        <w:t>40</w:t>
      </w:r>
      <w:r>
        <w:t>万平方米。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开展高质量引育，提升支撑力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一是招大项目。打造高质量外资集聚地，积极探索与境外区域合作开发新模式，推动与上海重点产业平台实现紧密型合作。围绕光伏新能源、智能制造、智能家居、时尚纺织等主导产业和航空、高端健康食品等新兴产业，绘制细分行业招商地图，引进一批产业带动强、技术含量高的大项目、好项目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二是挖新潜力。围绕纺织、智能家居、高端装备制造等重点行业，加快建设一批集研发设计、检验检测、成果转化、教育培训等功能于一体的产业创新服务综合体，积极推广一批应用面广、示范性强的高新技术成果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三是育大企业。深入实施登高培育计划，着力培育一批发展速度快、质量效益好、核心竞争力强、带动作用明显的大企业。扎实推进股改工作，加强政策宣传与辅导。发挥“亩均论英雄”考核导向作用，引导企业加大转型升级力度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打造高质量产业，提升竞争力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一是做精传统产业。以高端、智能、集聚、绿色为目标，推动织造向时尚化、个性化、精品化方向发展，实现提质增效。以“产能集聚化、生产绿色化”为方向做好印染行业整治提升。以“标准化、品牌化、数字化”为要求，做好毛衫、小家电行业等细分行业转型，实现提质创收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二是做强优势产业。做大做强光伏产业，打造产业链更完整、科技含量更高、创业创新更活跃新样板。努力培育高、精、尖的高端装备制造产业，和智能家居、家装产业，积极打造百亿产业，形成产业新格局。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三是做大数字产业。优化产业布局，积极发展新一代信息技术，打造“电商产业带”、智能控制系统、嵌入式软件等新业态。用好省级两化深度融合国家示范区、省级软件和信息服务业特色基地等区域平合，支持企业建设工业互联网和进行智能化改造，加快推动产业数字化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加大高质量开放，提升带动力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一是提升开放水平。重点做好广交会、“一带一路”沿线国际性展会等境内外展会组展工作。科学应对中美贸易战，引导企业进行理性外贸交易，鼓励企业“走出去”。打造出口产品的差异化优势，提升竞争力。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二是增强服务能力。加快示范园区建设，扩大现有服务外包三大示范园区的主体品牌效应。挖掘企业发展动力，鼓励工业企业开展分离外包业务，重点发展离岸业务。整合信息资源，加强产业合作，形成贸易产业链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三是优化商贸体系。加强大型商超管理，完善行业制度、投诉处理机制，改善软硬件设施，营造商超良好环境。加强成品油流通监管和废旧商品管理，加快提升区废品集散中心设立管理规范、功能完善的废旧商品回收体系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抓好高质量转型，提升发展力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一是整治工作全覆盖。加快全域整治工作向纵深推进，精准划分工业企业（作坊）规范提升、整合入园、合理转移、关停淘汰四类对象，研究制定针对性、操作性、可接受性强的整治方案。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二是能源管控全方位。明确“能源”双控工作目标，将目标落实分解到各主体和重点用能企业。做好动态监管，加强用能预算化管理，对用能异常增减或产出异常增减重点工业企业，采取个性化管控手段。严格落实每月通报、约谈制度，倒逼整改达标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三是项目流程全监管。严格项目准入机制，引导要素资源向主导产业、优质项目集聚。严格复核验收工作，做好项目达产后评价工作。对各主体已供地未投产项目开展预评估、大督查，对长期供而未动的项目责令收回，对进展缓慢的项目限期推进，确保项目建设符合预期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做好高质量服务，提升保障力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一是提升思想政治认知度。增强“四个意识”，坚定“四个自信”，践行“以人民为中心”的发展思想，矢志不渝当好红船护旗手。</w:t>
      </w:r>
    </w:p>
    <w:p w:rsidR="00893A57" w:rsidRDefault="00893A57" w:rsidP="00893A57">
      <w:pPr>
        <w:ind w:firstLineChars="200" w:firstLine="420"/>
      </w:pPr>
      <w:r>
        <w:rPr>
          <w:rFonts w:hint="eastAsia"/>
        </w:rPr>
        <w:t>二是提升服务企业精准度。政企沟通方式实现多样化，进一步完善党政主要领导与企业家“面对面”联系会议制度。企业走访突出问题导向，建立以解决企业提出的共性和个性问题为要求的走访联系制度。扶持政策转向精准滴灌，修订完善机器人智能制造产业、集成装饰产业发展扶持意见，突出对重点产业精准扶持。</w:t>
      </w:r>
    </w:p>
    <w:p w:rsidR="00893A57" w:rsidRDefault="00893A57" w:rsidP="00893A57">
      <w:pPr>
        <w:ind w:firstLineChars="200" w:firstLine="420"/>
        <w:rPr>
          <w:rFonts w:hint="eastAsia"/>
        </w:rPr>
      </w:pPr>
      <w:r>
        <w:rPr>
          <w:rFonts w:hint="eastAsia"/>
        </w:rPr>
        <w:t>三是提升履职尽责加速度。深化“最多跑一次”改革，审批时速力争再提升。提高廉政和业务素养，进一步增强精准服务能力。严格依法行政，加强效能建设和机关干部日常管理，勇当高质量发展的排头兵。</w:t>
      </w:r>
    </w:p>
    <w:p w:rsidR="00893A57" w:rsidRDefault="00893A57" w:rsidP="00893A57">
      <w:pPr>
        <w:ind w:firstLineChars="200" w:firstLine="420"/>
        <w:rPr>
          <w:rFonts w:hint="eastAsia"/>
        </w:rPr>
      </w:pPr>
      <w:r w:rsidRPr="00AF1E83">
        <w:rPr>
          <w:rFonts w:hint="eastAsia"/>
        </w:rPr>
        <w:t>徐锡华</w:t>
      </w:r>
    </w:p>
    <w:p w:rsidR="00893A57" w:rsidRDefault="00893A57" w:rsidP="00893A57">
      <w:pPr>
        <w:ind w:firstLineChars="200" w:firstLine="420"/>
        <w:jc w:val="right"/>
        <w:rPr>
          <w:rFonts w:hint="eastAsia"/>
        </w:rPr>
      </w:pPr>
      <w:r w:rsidRPr="00AF1E83">
        <w:rPr>
          <w:rFonts w:hint="eastAsia"/>
        </w:rPr>
        <w:t>嘉兴日报</w:t>
      </w:r>
      <w:r>
        <w:t>2018-11-29</w:t>
      </w:r>
    </w:p>
    <w:p w:rsidR="00893A57" w:rsidRDefault="00893A57" w:rsidP="0064317F">
      <w:pPr>
        <w:sectPr w:rsidR="00893A57" w:rsidSect="0064317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492072" w:rsidRDefault="00492072"/>
    <w:sectPr w:rsidR="0049207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893A57"/>
    <w:rsid w:val="00492072"/>
    <w:rsid w:val="00893A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893A5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893A57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893A57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385</Words>
  <Characters>2196</Characters>
  <Application>Microsoft Office Word</Application>
  <DocSecurity>0</DocSecurity>
  <Lines>18</Lines>
  <Paragraphs>5</Paragraphs>
  <ScaleCrop>false</ScaleCrop>
  <Company/>
  <LinksUpToDate>false</LinksUpToDate>
  <CharactersWithSpaces>2576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2022-06-09T02:52:00Z</dcterms:created>
</cp:coreProperties>
</file>