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84A68" w:rsidRDefault="00984A68" w:rsidP="00F63103">
      <w:pPr>
        <w:pStyle w:val="1"/>
      </w:pPr>
      <w:bookmarkStart w:id="0" w:name="_Toc105008110"/>
      <w:r w:rsidRPr="00BD0CA4">
        <w:rPr>
          <w:rFonts w:hint="eastAsia"/>
        </w:rPr>
        <w:t>广州市工信局：制造业将是主战场，稳住工业“压舱石”</w:t>
      </w:r>
      <w:bookmarkEnd w:id="0"/>
    </w:p>
    <w:p w:rsidR="00984A68" w:rsidRDefault="00984A68" w:rsidP="00984A68">
      <w:pPr>
        <w:spacing w:line="245" w:lineRule="auto"/>
        <w:ind w:firstLineChars="200" w:firstLine="420"/>
        <w:jc w:val="left"/>
      </w:pPr>
      <w:r w:rsidRPr="00BD0CA4">
        <w:rPr>
          <w:rFonts w:hint="eastAsia"/>
        </w:rPr>
        <w:t>虎年闯创干｜广州市工信局：制造业将是主战场，稳住工业“压舱石”</w:t>
      </w:r>
    </w:p>
    <w:p w:rsidR="00984A68" w:rsidRDefault="00984A68" w:rsidP="00984A68">
      <w:pPr>
        <w:spacing w:line="245" w:lineRule="auto"/>
        <w:ind w:firstLineChars="200" w:firstLine="420"/>
        <w:jc w:val="left"/>
      </w:pPr>
      <w:r>
        <w:rPr>
          <w:rFonts w:hint="eastAsia"/>
        </w:rPr>
        <w:t>读懂广州·热爱广州·贡献广州之虎年闯创干</w:t>
      </w:r>
    </w:p>
    <w:p w:rsidR="00984A68" w:rsidRDefault="00984A68" w:rsidP="00984A68">
      <w:pPr>
        <w:spacing w:line="245" w:lineRule="auto"/>
        <w:ind w:firstLineChars="200" w:firstLine="420"/>
        <w:jc w:val="left"/>
      </w:pPr>
      <w:r>
        <w:rPr>
          <w:rFonts w:hint="eastAsia"/>
        </w:rPr>
        <w:t>广州市第十二次党代会提出，加快建设先进制造业强市，提高“广州制造”“广州服务”“广州质量”“广州品牌”的竞争力和影响力。今年</w:t>
      </w:r>
      <w:r>
        <w:t>1</w:t>
      </w:r>
      <w:r>
        <w:t>月</w:t>
      </w:r>
      <w:r>
        <w:t>25</w:t>
      </w:r>
      <w:r>
        <w:t>日公布的广州市政府工作报告中，</w:t>
      </w:r>
      <w:r>
        <w:t>“</w:t>
      </w:r>
      <w:r>
        <w:t>坚持产业第一、制造业立市</w:t>
      </w:r>
      <w:r>
        <w:t>”</w:t>
      </w:r>
      <w:r>
        <w:t>首次出现。对此，广州市政府副秘书长、市工业和信息化局党组书记、一级巡视员高裕跃表示：</w:t>
      </w:r>
      <w:r>
        <w:t>“</w:t>
      </w:r>
      <w:r>
        <w:t>可以说，未来制造业将是主战场，我们将着力构建以数字经济为引领的现代工业和信息化产业体系，围绕市委、市政府提出的聚焦打造数产融合的标杆城市、先进制造业强市目标，以</w:t>
      </w:r>
      <w:r>
        <w:t>‘</w:t>
      </w:r>
      <w:r>
        <w:t>链长制</w:t>
      </w:r>
      <w:r>
        <w:t>’</w:t>
      </w:r>
      <w:r>
        <w:t>为抓手，全面打造</w:t>
      </w:r>
      <w:r>
        <w:t>‘5686’</w:t>
      </w:r>
      <w:r>
        <w:t>工作推进体系。</w:t>
      </w:r>
      <w:r>
        <w:t>”</w:t>
      </w:r>
    </w:p>
    <w:p w:rsidR="00984A68" w:rsidRDefault="00984A68" w:rsidP="00984A68">
      <w:pPr>
        <w:spacing w:line="245" w:lineRule="auto"/>
        <w:ind w:firstLineChars="200" w:firstLine="420"/>
        <w:jc w:val="left"/>
      </w:pPr>
      <w:r>
        <w:rPr>
          <w:rFonts w:hint="eastAsia"/>
        </w:rPr>
        <w:t>重拳出击：“链长制”拉动</w:t>
      </w:r>
      <w:r>
        <w:t>21</w:t>
      </w:r>
      <w:r>
        <w:t>条产业链</w:t>
      </w:r>
    </w:p>
    <w:p w:rsidR="00984A68" w:rsidRDefault="00984A68" w:rsidP="00984A68">
      <w:pPr>
        <w:spacing w:line="245" w:lineRule="auto"/>
        <w:ind w:firstLineChars="200" w:firstLine="420"/>
        <w:jc w:val="left"/>
      </w:pPr>
      <w:r>
        <w:rPr>
          <w:rFonts w:hint="eastAsia"/>
        </w:rPr>
        <w:t>广州拥有</w:t>
      </w:r>
      <w:r>
        <w:t>41</w:t>
      </w:r>
      <w:r>
        <w:t>个工业大类中的</w:t>
      </w:r>
      <w:r>
        <w:t>35</w:t>
      </w:r>
      <w:r>
        <w:t>个，工业经济总量稳居全国城市第一方阵，工业总体规模、综合实力、质量效益等指标领跑全国。</w:t>
      </w:r>
      <w:r>
        <w:t>2022</w:t>
      </w:r>
      <w:r>
        <w:t>年，广州将努力实现全年工业增加值超</w:t>
      </w:r>
      <w:r>
        <w:t>7000</w:t>
      </w:r>
      <w:r>
        <w:t>亿元，增速</w:t>
      </w:r>
      <w:r>
        <w:t>6.5%</w:t>
      </w:r>
      <w:r>
        <w:t>，力争</w:t>
      </w:r>
      <w:r>
        <w:t>7%</w:t>
      </w:r>
      <w:r>
        <w:t>；确保完成省下达工业投资额任务</w:t>
      </w:r>
      <w:r>
        <w:t>1221</w:t>
      </w:r>
      <w:r>
        <w:t>亿元、增速</w:t>
      </w:r>
      <w:r>
        <w:t>11%</w:t>
      </w:r>
      <w:r>
        <w:t>，力争</w:t>
      </w:r>
      <w:r>
        <w:t>1320</w:t>
      </w:r>
      <w:r>
        <w:t>亿元、增速</w:t>
      </w:r>
      <w:r>
        <w:t>20%</w:t>
      </w:r>
      <w:r>
        <w:t>；数字经济核心产业增速超</w:t>
      </w:r>
      <w:r>
        <w:t>10%</w:t>
      </w:r>
      <w:r>
        <w:t>。</w:t>
      </w:r>
    </w:p>
    <w:p w:rsidR="00984A68" w:rsidRDefault="00984A68" w:rsidP="00984A68">
      <w:pPr>
        <w:spacing w:line="245" w:lineRule="auto"/>
        <w:ind w:firstLineChars="200" w:firstLine="420"/>
        <w:jc w:val="left"/>
      </w:pPr>
      <w:r>
        <w:t>2021</w:t>
      </w:r>
      <w:r>
        <w:t>年，围绕全市重点发展的</w:t>
      </w:r>
      <w:r>
        <w:t>21</w:t>
      </w:r>
      <w:r>
        <w:t>条产业链，广州建立了</w:t>
      </w:r>
      <w:r>
        <w:t>“</w:t>
      </w:r>
      <w:r>
        <w:t>市级链长</w:t>
      </w:r>
      <w:r>
        <w:t xml:space="preserve"> </w:t>
      </w:r>
      <w:r>
        <w:t>链主企业</w:t>
      </w:r>
      <w:r>
        <w:t>”</w:t>
      </w:r>
      <w:r>
        <w:t>政企协同的工作机制，设立了市</w:t>
      </w:r>
      <w:r>
        <w:t>“</w:t>
      </w:r>
      <w:r>
        <w:t>链长制</w:t>
      </w:r>
      <w:r>
        <w:t>”</w:t>
      </w:r>
      <w:r>
        <w:t>办公室、</w:t>
      </w:r>
      <w:r>
        <w:t>“</w:t>
      </w:r>
      <w:r>
        <w:t>链长办</w:t>
      </w:r>
      <w:r>
        <w:t>”“</w:t>
      </w:r>
      <w:r>
        <w:t>链长</w:t>
      </w:r>
      <w:r>
        <w:t>”“</w:t>
      </w:r>
      <w:r>
        <w:t>链主</w:t>
      </w:r>
      <w:r>
        <w:t>”</w:t>
      </w:r>
      <w:r>
        <w:t>企业工作专班，</w:t>
      </w:r>
      <w:r>
        <w:t>21</w:t>
      </w:r>
      <w:r>
        <w:t>条产业链的行动计划陆续出台，同时，在</w:t>
      </w:r>
      <w:r>
        <w:t>“</w:t>
      </w:r>
      <w:r>
        <w:t>纾难解困</w:t>
      </w:r>
      <w:r>
        <w:t>”“</w:t>
      </w:r>
      <w:r>
        <w:t>链金合作</w:t>
      </w:r>
      <w:r>
        <w:t>”“</w:t>
      </w:r>
      <w:r>
        <w:t>数字建链</w:t>
      </w:r>
      <w:r>
        <w:t>”“</w:t>
      </w:r>
      <w:r>
        <w:t>指标评链</w:t>
      </w:r>
      <w:r>
        <w:t>”</w:t>
      </w:r>
      <w:r>
        <w:t>等方面进行了探索，取得了一系列成效。如果说</w:t>
      </w:r>
      <w:r>
        <w:t>2021</w:t>
      </w:r>
      <w:r>
        <w:t>年是</w:t>
      </w:r>
      <w:r>
        <w:t>“</w:t>
      </w:r>
      <w:r>
        <w:t>链长制</w:t>
      </w:r>
      <w:r>
        <w:t>”</w:t>
      </w:r>
      <w:r>
        <w:t>的启动年，</w:t>
      </w:r>
      <w:r>
        <w:t>2022</w:t>
      </w:r>
      <w:r>
        <w:t>年就将是</w:t>
      </w:r>
      <w:r>
        <w:t>“</w:t>
      </w:r>
      <w:r>
        <w:t>链长制</w:t>
      </w:r>
      <w:r>
        <w:t>”</w:t>
      </w:r>
      <w:r>
        <w:t>的执行年。广州工信部门将围绕构建具有国际竞争力的现代产业体系，抓好三项重点任务。一是推动纾难解困，将实施</w:t>
      </w:r>
      <w:r>
        <w:t>“</w:t>
      </w:r>
      <w:r>
        <w:t>一对一</w:t>
      </w:r>
      <w:r>
        <w:t>”</w:t>
      </w:r>
      <w:r>
        <w:t>精准服务，找准堵点断点痛点，建立</w:t>
      </w:r>
      <w:r>
        <w:t>“</w:t>
      </w:r>
      <w:r>
        <w:t>纾难解困清单</w:t>
      </w:r>
      <w:r>
        <w:t>”</w:t>
      </w:r>
      <w:r>
        <w:rPr>
          <w:rFonts w:hint="eastAsia"/>
        </w:rPr>
        <w:t>，由链长高位推动，部门协同，通过出台相关政策，体制化、标准化、系统化、批量化协调解决产业链发展问题。二是加强产业链对接合作，将组织“链主”企业开展跨区域、跨领域、跨链条的产业合作交流，举办重点产业链“大手拉小手”供需合作对接活动，推动一批产业链合作项目落地；组织“链金合作”见面对接会，推动“链金合作”机制，支持银行等金融机构围绕产业链制定供应链金融专项授信政策，配置专项信贷资源，开辟金融服务绿色通道；积极探索供应链票据等创新形式，帮助产业链供应链上下游中小微企业融资。三是加强督导支撑，将建立评估机制，强化日常督导，加快产业链工作推进；开展市“链长制”战略咨询支撑，为产业链发展提供全方位的专业智力支持。</w:t>
      </w:r>
    </w:p>
    <w:p w:rsidR="00984A68" w:rsidRDefault="00984A68" w:rsidP="00984A68">
      <w:pPr>
        <w:spacing w:line="245" w:lineRule="auto"/>
        <w:ind w:firstLineChars="200" w:firstLine="420"/>
        <w:jc w:val="left"/>
      </w:pPr>
      <w:r>
        <w:rPr>
          <w:rFonts w:hint="eastAsia"/>
        </w:rPr>
        <w:t>内外兼修：稳当头抓招商培企业推转型</w:t>
      </w:r>
    </w:p>
    <w:p w:rsidR="00984A68" w:rsidRDefault="00984A68" w:rsidP="00984A68">
      <w:pPr>
        <w:spacing w:line="245" w:lineRule="auto"/>
        <w:ind w:firstLineChars="200" w:firstLine="420"/>
        <w:jc w:val="left"/>
      </w:pPr>
      <w:r>
        <w:rPr>
          <w:rFonts w:hint="eastAsia"/>
        </w:rPr>
        <w:t>加快先进制造业发展，首先要稳住工业经济基本盘。中央经济工作会议要求，今年经济工作要稳字当头、稳中求进。全国工业和信息化工作会议指出，要把工业稳增长摆在最重要的位置。这些都为广州大力发展先进制造业指明了方向、明确了要求。</w:t>
      </w:r>
    </w:p>
    <w:p w:rsidR="00984A68" w:rsidRDefault="00984A68" w:rsidP="00984A68">
      <w:pPr>
        <w:spacing w:line="245" w:lineRule="auto"/>
        <w:ind w:firstLineChars="200" w:firstLine="420"/>
        <w:jc w:val="left"/>
      </w:pPr>
      <w:r>
        <w:t>2022</w:t>
      </w:r>
      <w:r>
        <w:t>年，广州将坚持稳字当头，稳中求进，牢牢稳住工业这个稳定经济大盘中的</w:t>
      </w:r>
      <w:r>
        <w:t>“</w:t>
      </w:r>
      <w:r>
        <w:t>压舱石</w:t>
      </w:r>
      <w:r>
        <w:t>”</w:t>
      </w:r>
      <w:r>
        <w:t>。全市将建立市领导调度服务机制，市主要领导每月、分管市领导每周调度工业稳增长，针对性开展</w:t>
      </w:r>
      <w:r>
        <w:t>“</w:t>
      </w:r>
      <w:r>
        <w:t>暖企服务</w:t>
      </w:r>
      <w:r>
        <w:t>”</w:t>
      </w:r>
      <w:r>
        <w:t>，坚持</w:t>
      </w:r>
      <w:r>
        <w:t>“</w:t>
      </w:r>
      <w:r>
        <w:t>每周一联系、每月一通报、每月一报告</w:t>
      </w:r>
      <w:r>
        <w:t>”</w:t>
      </w:r>
      <w:r>
        <w:t>，及时协调解决企业困难诉求。</w:t>
      </w:r>
    </w:p>
    <w:p w:rsidR="00984A68" w:rsidRDefault="00984A68" w:rsidP="00984A68">
      <w:pPr>
        <w:spacing w:line="245" w:lineRule="auto"/>
        <w:ind w:firstLineChars="200" w:firstLine="420"/>
        <w:jc w:val="left"/>
      </w:pPr>
      <w:r>
        <w:rPr>
          <w:rFonts w:hint="eastAsia"/>
        </w:rPr>
        <w:t>在“稳”的基础上，广州将聚力大抓招商、招引大商。今年将组织开展“企业服务提升年”行动，积极“跑上去”“走出去”“沉下去”——上去汇报对接、出去招商引资、下去暖企扶企，打开招商思路，把蹲点招商、企业招商、园区招商、基金招商、产业链招商等各种招商方式的潜力释放出来、活力激发出来，形成全面发力、多点开花态势。</w:t>
      </w:r>
    </w:p>
    <w:p w:rsidR="00984A68" w:rsidRDefault="00984A68" w:rsidP="00984A68">
      <w:pPr>
        <w:spacing w:line="245" w:lineRule="auto"/>
        <w:ind w:firstLineChars="200" w:firstLine="420"/>
        <w:jc w:val="left"/>
      </w:pPr>
      <w:r>
        <w:rPr>
          <w:rFonts w:hint="eastAsia"/>
        </w:rPr>
        <w:t>“中小企业能办大事”。广州将积极打造“小升规、规壮大”的梯次强企方阵，支持广州开发区建设“中小企业能办大事”创新示范区，探索建设一批“专精特新”园区。工业和信息化部的数据显示，截至去年，中国“专精特新”小巨人企业数量已达</w:t>
      </w:r>
      <w:r>
        <w:t>4762</w:t>
      </w:r>
      <w:r>
        <w:t>家，其中广州有</w:t>
      </w:r>
      <w:r>
        <w:t>68</w:t>
      </w:r>
      <w:r>
        <w:t>家企业入选，在全国各大城市中位列前列。今年广州将实施中小企业</w:t>
      </w:r>
      <w:r>
        <w:t>“</w:t>
      </w:r>
      <w:r>
        <w:t>专精特新</w:t>
      </w:r>
      <w:r>
        <w:t>”</w:t>
      </w:r>
      <w:r>
        <w:t>发展行动，完善服务机制，力争全年新培育</w:t>
      </w:r>
      <w:r>
        <w:t>70</w:t>
      </w:r>
      <w:r>
        <w:t>家国家级、</w:t>
      </w:r>
      <w:r>
        <w:t>200</w:t>
      </w:r>
      <w:r>
        <w:t>家省级、</w:t>
      </w:r>
      <w:r>
        <w:t>500</w:t>
      </w:r>
      <w:r>
        <w:t>家市级</w:t>
      </w:r>
      <w:r>
        <w:t>“</w:t>
      </w:r>
      <w:r>
        <w:t>专精特新</w:t>
      </w:r>
      <w:r>
        <w:t>”</w:t>
      </w:r>
      <w:r>
        <w:t>小巨人企业。</w:t>
      </w:r>
    </w:p>
    <w:p w:rsidR="00984A68" w:rsidRDefault="00984A68" w:rsidP="00984A68">
      <w:pPr>
        <w:spacing w:line="245" w:lineRule="auto"/>
        <w:ind w:firstLineChars="200" w:firstLine="420"/>
        <w:jc w:val="left"/>
      </w:pPr>
      <w:r>
        <w:rPr>
          <w:rFonts w:hint="eastAsia"/>
        </w:rPr>
        <w:t>同时，广州将继续推动制造业数字化转型，今年将加快出台以数字化赋能“定制之都”工作方案，继续实施“定制之都”示范工程，打造产、学、研、商、旅为一体化的智能制造示范园，加速制造业数字化、网络化、智能化升级改造，以数字化培育新动能，以新动能培育新优势。此外，推动先进制造业发展，广州还将在平台保障、用地保障、规划保障、政策保障、人才保障等领域给予全方位支持，强化资源要素保障，将足够多、足够好的资源向制造业企业项目倾斜，营造良好发展服务环境。</w:t>
      </w:r>
    </w:p>
    <w:p w:rsidR="00984A68" w:rsidRDefault="00984A68" w:rsidP="00984A68">
      <w:pPr>
        <w:spacing w:line="245" w:lineRule="auto"/>
        <w:ind w:firstLineChars="200" w:firstLine="420"/>
        <w:jc w:val="left"/>
      </w:pPr>
      <w:r>
        <w:rPr>
          <w:rFonts w:hint="eastAsia"/>
        </w:rPr>
        <w:t>新年“计划书”</w:t>
      </w:r>
    </w:p>
    <w:p w:rsidR="00984A68" w:rsidRDefault="00984A68" w:rsidP="00984A68">
      <w:pPr>
        <w:spacing w:line="245" w:lineRule="auto"/>
        <w:ind w:firstLineChars="200" w:firstLine="420"/>
        <w:jc w:val="left"/>
      </w:pPr>
      <w:r>
        <w:rPr>
          <w:rFonts w:hint="eastAsia"/>
        </w:rPr>
        <w:t>着力构建“</w:t>
      </w:r>
      <w:r>
        <w:t>5686”</w:t>
      </w:r>
      <w:r>
        <w:t>工作推进体系</w:t>
      </w:r>
    </w:p>
    <w:p w:rsidR="00984A68" w:rsidRDefault="00984A68" w:rsidP="00984A68">
      <w:pPr>
        <w:spacing w:line="245" w:lineRule="auto"/>
        <w:ind w:firstLineChars="200" w:firstLine="420"/>
        <w:jc w:val="left"/>
      </w:pPr>
      <w:r>
        <w:rPr>
          <w:rFonts w:hint="eastAsia"/>
        </w:rPr>
        <w:t>新的一年，广州将着力构建“</w:t>
      </w:r>
      <w:r>
        <w:t>5686”</w:t>
      </w:r>
      <w:r>
        <w:t>工作推进体系，围绕市委、市政府提出的聚焦打造数产融合的标杆城市、先进制造业强市目标，坚持制造业立市之本，以</w:t>
      </w:r>
      <w:r>
        <w:t>“</w:t>
      </w:r>
      <w:r>
        <w:t>链长制</w:t>
      </w:r>
      <w:r>
        <w:t>”</w:t>
      </w:r>
      <w:r>
        <w:t>为抓手，构建以数字经济为引领的现代工业和信息化产业体系。</w:t>
      </w:r>
    </w:p>
    <w:p w:rsidR="00984A68" w:rsidRDefault="00984A68" w:rsidP="00984A68">
      <w:pPr>
        <w:spacing w:line="245" w:lineRule="auto"/>
        <w:ind w:firstLineChars="200" w:firstLine="420"/>
        <w:jc w:val="left"/>
      </w:pPr>
      <w:r>
        <w:rPr>
          <w:rFonts w:hint="eastAsia"/>
        </w:rPr>
        <w:t>“</w:t>
      </w:r>
      <w:r>
        <w:t>5”——</w:t>
      </w:r>
      <w:r>
        <w:t>升级打造数字经济核心产业、智能网联和新能源汽车、绿色石化和新材料、生物医药与健康、现代高端装备五大支柱产业；</w:t>
      </w:r>
    </w:p>
    <w:p w:rsidR="00984A68" w:rsidRDefault="00984A68" w:rsidP="00984A68">
      <w:pPr>
        <w:spacing w:line="245" w:lineRule="auto"/>
        <w:ind w:firstLineChars="200" w:firstLine="420"/>
        <w:jc w:val="left"/>
      </w:pPr>
      <w:r>
        <w:rPr>
          <w:rFonts w:hint="eastAsia"/>
        </w:rPr>
        <w:t>“</w:t>
      </w:r>
      <w:r>
        <w:t>6”——</w:t>
      </w:r>
      <w:r>
        <w:t>开展</w:t>
      </w:r>
      <w:r>
        <w:t>“</w:t>
      </w:r>
      <w:r>
        <w:t>智车</w:t>
      </w:r>
      <w:r>
        <w:t>”“</w:t>
      </w:r>
      <w:r>
        <w:t>强芯</w:t>
      </w:r>
      <w:r>
        <w:t>”“</w:t>
      </w:r>
      <w:r>
        <w:t>亮屏</w:t>
      </w:r>
      <w:r>
        <w:t>”“</w:t>
      </w:r>
      <w:r>
        <w:t>融网</w:t>
      </w:r>
      <w:r>
        <w:t>”“</w:t>
      </w:r>
      <w:r>
        <w:t>健药</w:t>
      </w:r>
      <w:r>
        <w:t>”“</w:t>
      </w:r>
      <w:r>
        <w:t>尚品</w:t>
      </w:r>
      <w:r>
        <w:t>”</w:t>
      </w:r>
      <w:r>
        <w:t>六大行动；</w:t>
      </w:r>
    </w:p>
    <w:p w:rsidR="00984A68" w:rsidRDefault="00984A68" w:rsidP="00984A68">
      <w:pPr>
        <w:spacing w:line="245" w:lineRule="auto"/>
        <w:ind w:firstLineChars="200" w:firstLine="420"/>
        <w:jc w:val="left"/>
      </w:pPr>
      <w:r>
        <w:rPr>
          <w:rFonts w:hint="eastAsia"/>
        </w:rPr>
        <w:t>“</w:t>
      </w:r>
      <w:r>
        <w:t>8”——</w:t>
      </w:r>
      <w:r>
        <w:t>实施深度融合的数字经济、产业链群、技术创新、主体壮大、湾区协同、三品战略、绿色低碳、营商环境八大提质工程；</w:t>
      </w:r>
    </w:p>
    <w:p w:rsidR="00984A68" w:rsidRDefault="00984A68" w:rsidP="00984A68">
      <w:pPr>
        <w:spacing w:line="245" w:lineRule="auto"/>
        <w:ind w:firstLineChars="200" w:firstLine="420"/>
        <w:jc w:val="left"/>
      </w:pPr>
      <w:r>
        <w:rPr>
          <w:rFonts w:hint="eastAsia"/>
        </w:rPr>
        <w:t>“</w:t>
      </w:r>
      <w:r>
        <w:t>6”——“</w:t>
      </w:r>
      <w:r>
        <w:t>两城两都两高地</w:t>
      </w:r>
      <w:r>
        <w:t>”</w:t>
      </w:r>
      <w:r>
        <w:t>，即智车之城、软件名城、显示之都、定制之都、新材高地、生物医药与健康产业高地，打造一批更具国际竞争力的先进制造业集群。</w:t>
      </w:r>
    </w:p>
    <w:p w:rsidR="00984A68" w:rsidRDefault="00984A68" w:rsidP="00984A68">
      <w:pPr>
        <w:spacing w:line="245" w:lineRule="auto"/>
        <w:ind w:firstLineChars="200" w:firstLine="420"/>
        <w:jc w:val="right"/>
      </w:pPr>
      <w:r w:rsidRPr="00BD0CA4">
        <w:rPr>
          <w:rFonts w:hint="eastAsia"/>
        </w:rPr>
        <w:t>广州日报</w:t>
      </w:r>
      <w:r>
        <w:t>2022-</w:t>
      </w:r>
      <w:r w:rsidRPr="00BD0CA4">
        <w:t>2-15</w:t>
      </w:r>
    </w:p>
    <w:p w:rsidR="00984A68" w:rsidRDefault="00984A68" w:rsidP="000935AB">
      <w:pPr>
        <w:sectPr w:rsidR="00984A68" w:rsidSect="00847A20">
          <w:headerReference w:type="even" r:id="rId4"/>
          <w:headerReference w:type="default" r:id="rId5"/>
          <w:footerReference w:type="even" r:id="rId6"/>
          <w:footerReference w:type="default" r:id="rId7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4E1CE7" w:rsidRDefault="004E1CE7"/>
    <w:sectPr w:rsidR="004E1CE7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847A20" w:rsidRDefault="004E1CE7">
    <w:pPr>
      <w:pStyle w:val="a4"/>
      <w:tabs>
        <w:tab w:val="clear" w:pos="4153"/>
        <w:tab w:val="clear" w:pos="8306"/>
        <w:tab w:val="left" w:pos="0"/>
        <w:tab w:val="right" w:pos="8700"/>
      </w:tabs>
      <w:jc w:val="center"/>
    </w:pPr>
    <w:r>
      <w:fldChar w:fldCharType="begin"/>
    </w:r>
    <w:r>
      <w:instrText xml:space="preserve"> PAGE </w:instrText>
    </w:r>
    <w:r>
      <w:fldChar w:fldCharType="separate"/>
    </w:r>
    <w:r>
      <w:rPr>
        <w:noProof/>
      </w:rPr>
      <w:t>50</w:t>
    </w:r>
    <w:r>
      <w:fldChar w:fldCharType="end"/>
    </w:r>
    <w:r>
      <w:tab/>
    </w:r>
    <w:r>
      <w:rPr>
        <w:rFonts w:hint="eastAsia"/>
      </w:rPr>
      <w:t xml:space="preserve">   </w:t>
    </w:r>
    <w:r>
      <w:rPr>
        <w:rFonts w:hint="eastAsia"/>
      </w:rPr>
      <w:t>服务热线：</w:t>
    </w:r>
    <w:r>
      <w:rPr>
        <w:rFonts w:hint="eastAsia"/>
        <w:szCs w:val="21"/>
      </w:rPr>
      <w:t>010-</w:t>
    </w:r>
    <w:r>
      <w:t>872</w:t>
    </w:r>
    <w:r>
      <w:rPr>
        <w:rFonts w:hint="eastAsia"/>
      </w:rPr>
      <w:t>77707</w:t>
    </w: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847A20" w:rsidRDefault="004E1CE7">
    <w:pPr>
      <w:pStyle w:val="a4"/>
      <w:tabs>
        <w:tab w:val="clear" w:pos="4153"/>
        <w:tab w:val="clear" w:pos="8306"/>
        <w:tab w:val="right" w:pos="8932"/>
      </w:tabs>
      <w:wordWrap w:val="0"/>
      <w:ind w:leftChars="6" w:left="13"/>
      <w:jc w:val="right"/>
    </w:pPr>
    <w:r>
      <w:rPr>
        <w:rFonts w:hint="eastAsia"/>
      </w:rPr>
      <w:t xml:space="preserve">   </w:t>
    </w:r>
    <w:r>
      <w:rPr>
        <w:rFonts w:hint="eastAsia"/>
      </w:rPr>
      <w:t>服务热线：</w:t>
    </w:r>
    <w:r>
      <w:rPr>
        <w:rFonts w:hint="eastAsia"/>
        <w:szCs w:val="21"/>
      </w:rPr>
      <w:t>010-</w:t>
    </w:r>
    <w:r>
      <w:t>8727</w:t>
    </w:r>
    <w:r>
      <w:rPr>
        <w:rFonts w:hint="eastAsia"/>
      </w:rPr>
      <w:t>7707</w:t>
    </w:r>
    <w:r>
      <w:rPr>
        <w:szCs w:val="21"/>
      </w:rPr>
      <w:tab/>
    </w:r>
    <w:r>
      <w:fldChar w:fldCharType="begin"/>
    </w:r>
    <w:r>
      <w:instrText xml:space="preserve"> PAGE </w:instrText>
    </w:r>
    <w:r>
      <w:fldChar w:fldCharType="separate"/>
    </w:r>
    <w:r>
      <w:rPr>
        <w:noProof/>
      </w:rPr>
      <w:t>49</w:t>
    </w:r>
    <w:r>
      <w:fldChar w:fldCharType="end"/>
    </w:r>
    <w:r>
      <w:rPr>
        <w:rFonts w:hint="eastAsia"/>
      </w:rPr>
      <w:t xml:space="preserve">　</w:t>
    </w:r>
  </w:p>
</w:ftr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847A20" w:rsidRDefault="004E1CE7">
    <w:pPr>
      <w:pStyle w:val="a3"/>
      <w:tabs>
        <w:tab w:val="clear" w:pos="8306"/>
        <w:tab w:val="right" w:pos="9061"/>
      </w:tabs>
    </w:pPr>
    <w:r>
      <w:rPr>
        <w:rFonts w:hint="eastAsia"/>
      </w:rPr>
      <w:t>丽人剪报</w:t>
    </w:r>
    <w:r>
      <w:tab/>
    </w:r>
    <w:r>
      <w:rPr>
        <w:rFonts w:hint="eastAsia"/>
      </w:rPr>
      <w:t xml:space="preserve">                                                         </w:t>
    </w:r>
    <w:r>
      <w:rPr>
        <w:rFonts w:hint="eastAsia"/>
      </w:rPr>
      <w:t>《综合》</w:t>
    </w: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847A20" w:rsidRDefault="004E1CE7">
    <w:pPr>
      <w:pStyle w:val="a3"/>
      <w:tabs>
        <w:tab w:val="clear" w:pos="8306"/>
        <w:tab w:val="right" w:pos="9061"/>
      </w:tabs>
      <w:jc w:val="both"/>
    </w:pPr>
    <w:r>
      <w:rPr>
        <w:rFonts w:hint="eastAsia"/>
      </w:rPr>
      <w:t>丽人剪报</w:t>
    </w:r>
    <w:r>
      <w:rPr>
        <w:rFonts w:hint="eastAsia"/>
      </w:rPr>
      <w:t xml:space="preserve">                                                          </w:t>
    </w:r>
    <w:r>
      <w:rPr>
        <w:rFonts w:hint="eastAsia"/>
      </w:rPr>
      <w:t>《综合</w:t>
    </w:r>
    <w:r>
      <w:rPr>
        <w:rFonts w:hint="eastAsia"/>
      </w:rPr>
      <w:t>》</w:t>
    </w: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984A68"/>
    <w:rsid w:val="004E1CE7"/>
    <w:rsid w:val="00984A6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foot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984A68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984A68"/>
    <w:rPr>
      <w:rFonts w:ascii="黑体" w:eastAsia="黑体" w:hAnsi="宋体" w:cs="Times New Roman"/>
      <w:b/>
      <w:kern w:val="36"/>
      <w:sz w:val="32"/>
      <w:szCs w:val="32"/>
    </w:rPr>
  </w:style>
  <w:style w:type="paragraph" w:styleId="a3">
    <w:name w:val="header"/>
    <w:basedOn w:val="a"/>
    <w:link w:val="Char"/>
    <w:rsid w:val="00984A68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rFonts w:ascii="宋体" w:eastAsia="宋体" w:hAnsi="宋体" w:cs="Times New Roman"/>
      <w:b/>
      <w:bCs/>
      <w:i/>
      <w:kern w:val="36"/>
      <w:sz w:val="24"/>
      <w:szCs w:val="18"/>
    </w:rPr>
  </w:style>
  <w:style w:type="character" w:customStyle="1" w:styleId="Char">
    <w:name w:val="页眉 Char"/>
    <w:basedOn w:val="a0"/>
    <w:link w:val="a3"/>
    <w:rsid w:val="00984A68"/>
    <w:rPr>
      <w:rFonts w:ascii="宋体" w:eastAsia="宋体" w:hAnsi="宋体" w:cs="Times New Roman"/>
      <w:b/>
      <w:bCs/>
      <w:i/>
      <w:kern w:val="36"/>
      <w:sz w:val="24"/>
      <w:szCs w:val="18"/>
    </w:rPr>
  </w:style>
  <w:style w:type="paragraph" w:styleId="a4">
    <w:name w:val="footer"/>
    <w:basedOn w:val="a"/>
    <w:link w:val="Char0"/>
    <w:rsid w:val="00984A68"/>
    <w:pPr>
      <w:tabs>
        <w:tab w:val="center" w:pos="4153"/>
        <w:tab w:val="right" w:pos="8306"/>
      </w:tabs>
      <w:snapToGrid w:val="0"/>
      <w:jc w:val="left"/>
    </w:pPr>
    <w:rPr>
      <w:rFonts w:ascii="宋体" w:eastAsia="宋体" w:hAnsi="宋体" w:cs="Times New Roman"/>
      <w:b/>
      <w:bCs/>
      <w:i/>
      <w:kern w:val="36"/>
      <w:sz w:val="24"/>
      <w:szCs w:val="18"/>
    </w:rPr>
  </w:style>
  <w:style w:type="character" w:customStyle="1" w:styleId="Char0">
    <w:name w:val="页脚 Char"/>
    <w:basedOn w:val="a0"/>
    <w:link w:val="a4"/>
    <w:rsid w:val="00984A68"/>
    <w:rPr>
      <w:rFonts w:ascii="宋体" w:eastAsia="宋体" w:hAnsi="宋体" w:cs="Times New Roman"/>
      <w:b/>
      <w:bCs/>
      <w:i/>
      <w:kern w:val="36"/>
      <w:sz w:val="24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2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header" Target="header2.xml"/><Relationship Id="rId4" Type="http://schemas.openxmlformats.org/officeDocument/2006/relationships/header" Target="header1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339</Words>
  <Characters>1938</Characters>
  <Application>Microsoft Office Word</Application>
  <DocSecurity>0</DocSecurity>
  <Lines>16</Lines>
  <Paragraphs>4</Paragraphs>
  <ScaleCrop>false</ScaleCrop>
  <Company>Microsoft</Company>
  <LinksUpToDate>false</LinksUpToDate>
  <CharactersWithSpaces>2273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xb21cn</dc:creator>
  <cp:keywords/>
  <dc:description/>
  <cp:lastModifiedBy/>
  <cp:revision>1</cp:revision>
  <dcterms:created xsi:type="dcterms:W3CDTF">2022-06-01T12:35:00Z</dcterms:created>
</cp:coreProperties>
</file>