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1911" w:rsidRDefault="00E21911">
      <w:pPr>
        <w:pStyle w:val="1"/>
      </w:pPr>
      <w:r>
        <w:rPr>
          <w:rFonts w:hint="eastAsia"/>
        </w:rPr>
        <w:t>基层反映：基层行使行政处罚自由裁量权相关问题亟待重视</w:t>
      </w:r>
    </w:p>
    <w:p w:rsidR="00E21911" w:rsidRDefault="00E21911">
      <w:pPr>
        <w:ind w:firstLine="420"/>
        <w:jc w:val="left"/>
      </w:pPr>
      <w:r>
        <w:rPr>
          <w:rFonts w:hint="eastAsia"/>
        </w:rPr>
        <w:t>市场监督管理部门执法工作涉及领域广、范围大、种类多，导致行政处罚自由裁量权的范围、幅度较大，基层执法人员在具体案件的执法过程中难以准确把握，而自由裁量权行使的是否规范、阳光，直接关系到案件查处力度和执法工作成果，因此对其存在的相关问题需要引起高度重视。</w:t>
      </w:r>
    </w:p>
    <w:p w:rsidR="00E21911" w:rsidRDefault="00E21911">
      <w:pPr>
        <w:ind w:firstLine="420"/>
        <w:jc w:val="left"/>
      </w:pPr>
      <w:r>
        <w:rPr>
          <w:rFonts w:hint="eastAsia"/>
        </w:rPr>
        <w:t>第一，行政处罚自由裁量权基准不具体不透明。相关规定普遍存在原则性强，内容过于宽泛，对处罚标准的阶梯化、明细化不够，自由裁量幅度较大等问题，且均以情节是否严重为衡量标准，使办案人员难以合理运用。</w:t>
      </w:r>
    </w:p>
    <w:p w:rsidR="00E21911" w:rsidRDefault="00E21911">
      <w:pPr>
        <w:ind w:firstLine="420"/>
        <w:jc w:val="left"/>
      </w:pPr>
      <w:r>
        <w:rPr>
          <w:rFonts w:hint="eastAsia"/>
        </w:rPr>
        <w:t>第二，行政处罚的自由裁量随意性较大。由于自由裁量权的规定相对宽泛，为行政执法人员行政处罚执法带来一定随意性。例如，执法人员在办理经营过期食品案件时，发现店内有销售过期食品，数量不多，有的执法人员会认为情节轻微不予处罚，有的执法人员会认为情节不严重，处以最低</w:t>
      </w:r>
      <w:r>
        <w:rPr>
          <w:rFonts w:hint="eastAsia"/>
        </w:rPr>
        <w:t>5</w:t>
      </w:r>
      <w:r>
        <w:rPr>
          <w:rFonts w:hint="eastAsia"/>
        </w:rPr>
        <w:t>万元罚款，均在执法人员一念之间。</w:t>
      </w:r>
    </w:p>
    <w:p w:rsidR="00E21911" w:rsidRDefault="00E21911">
      <w:pPr>
        <w:ind w:firstLine="420"/>
        <w:jc w:val="left"/>
      </w:pPr>
      <w:r>
        <w:rPr>
          <w:rFonts w:hint="eastAsia"/>
        </w:rPr>
        <w:t>第三，执法人员综合素质参差不齐。执法人员在行使自由裁量权作出具体行政行为时，取决于对市场监督管理部门法律法规的如何理解、适用。目前，在行使行政自由裁量权时，容易被个人的人情关系、执法压力等因素影响执法决定，在实践中，自由裁量的行使存在不公正和滥用权力的现象。</w:t>
      </w:r>
    </w:p>
    <w:p w:rsidR="00E21911" w:rsidRDefault="00E21911">
      <w:pPr>
        <w:ind w:firstLine="420"/>
        <w:jc w:val="left"/>
      </w:pPr>
      <w:r>
        <w:rPr>
          <w:rFonts w:hint="eastAsia"/>
        </w:rPr>
        <w:t>第四，执法单位过度追求经济效益。有些部门将罚款的多少作为绩效考核的重要内容，鼓励执法人员多办案、办大案，导致执法人员片面追求罚没款指标和部门利益，背离执法宗旨，甚至出现以罚代管、以罚代刑等现象，损坏了公平竞争有序发展的市场环境。</w:t>
      </w:r>
    </w:p>
    <w:p w:rsidR="00E21911" w:rsidRDefault="00E21911">
      <w:pPr>
        <w:ind w:firstLine="420"/>
        <w:jc w:val="left"/>
      </w:pPr>
      <w:r>
        <w:rPr>
          <w:rFonts w:hint="eastAsia"/>
        </w:rPr>
        <w:t>为了更好把自由裁量权创建在“阳光下”执法，基层建议：</w:t>
      </w:r>
    </w:p>
    <w:p w:rsidR="00E21911" w:rsidRDefault="00E21911">
      <w:pPr>
        <w:ind w:firstLine="420"/>
        <w:jc w:val="left"/>
      </w:pPr>
      <w:r>
        <w:rPr>
          <w:rFonts w:hint="eastAsia"/>
        </w:rPr>
        <w:t>第一，制定行政处罚自由裁量的具体基准。及时制定行政处罚自由裁量权基准，让执法人员有法可依、按章办事。制定过程中，需综合考虑个案情况，使处罚裁量标准阶梯化、明细化、可量化，使行政处罚既更具操作性，又可有效防止轻案重罚、重案轻罚、同案不同罚的情况发生。同时，公开裁量标准，接受社会监督，使行政执法在阳光下运行，实现公平公正执法。</w:t>
      </w:r>
    </w:p>
    <w:p w:rsidR="00E21911" w:rsidRDefault="00E21911">
      <w:pPr>
        <w:ind w:firstLine="420"/>
        <w:jc w:val="left"/>
      </w:pPr>
      <w:r>
        <w:rPr>
          <w:rFonts w:hint="eastAsia"/>
        </w:rPr>
        <w:t>第二，提升执法人员的素质和能力。建设一支政治坚定、业务精通、作风优良、纪律严明、公正廉洁的市场监管执法队伍。一是加大培训力度，持续提升执法人员依法行政能力。二是加强宗旨意识教育，坚持执法为民、公正执法。三是加强廉洁教育，正确处理私情与依法行政的关系。</w:t>
      </w:r>
    </w:p>
    <w:p w:rsidR="00E21911" w:rsidRDefault="00E21911">
      <w:pPr>
        <w:ind w:firstLine="420"/>
        <w:jc w:val="left"/>
      </w:pPr>
      <w:r>
        <w:rPr>
          <w:rFonts w:hint="eastAsia"/>
        </w:rPr>
        <w:t>第三，加强制度建设，接受社会监督。一是加强党内监督。二是制定并严格落实行政执法过错责任追究制度，纠正行政执法中存在的过错行为，推进法治政府建设进程。三是执行行政检查备案制度。</w:t>
      </w:r>
    </w:p>
    <w:p w:rsidR="00E21911" w:rsidRDefault="00E21911">
      <w:pPr>
        <w:ind w:firstLine="420"/>
        <w:jc w:val="left"/>
      </w:pPr>
      <w:r>
        <w:rPr>
          <w:rFonts w:hint="eastAsia"/>
        </w:rPr>
        <w:t>第四，强化考核导向作用，回归执法为民的工作宗旨。一是正确处理罚没指标与执法效果的关系。坚决克服和摒弃为创收而执法、为牟取私利而执法的错误思想。二是正确处理公正与效率的关系，按照“合法、合理、合情、高效”的原则，创新执法手段，提高办案效率。三是正确处理执法与普法的关系。以说理式执法为抓手，把法治宣传教育融入执法实践的全过程。</w:t>
      </w:r>
    </w:p>
    <w:p w:rsidR="00E21911" w:rsidRDefault="00E21911">
      <w:pPr>
        <w:ind w:firstLine="420"/>
        <w:jc w:val="right"/>
      </w:pPr>
      <w:r>
        <w:rPr>
          <w:rFonts w:hint="eastAsia"/>
        </w:rPr>
        <w:t>富阳区市场监管局</w:t>
      </w:r>
      <w:r>
        <w:rPr>
          <w:rFonts w:hint="eastAsia"/>
        </w:rPr>
        <w:t>2021-11-04</w:t>
      </w:r>
    </w:p>
    <w:p w:rsidR="00E21911" w:rsidRDefault="00E21911" w:rsidP="005847B2">
      <w:pPr>
        <w:sectPr w:rsidR="00E21911" w:rsidSect="005847B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A14CD" w:rsidRDefault="006A14CD"/>
    <w:sectPr w:rsidR="006A14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21911"/>
    <w:rsid w:val="006A14CD"/>
    <w:rsid w:val="00E219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2191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2191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1047</Characters>
  <Application>Microsoft Office Word</Application>
  <DocSecurity>0</DocSecurity>
  <Lines>8</Lines>
  <Paragraphs>2</Paragraphs>
  <ScaleCrop>false</ScaleCrop>
  <Company>Microsoft</Company>
  <LinksUpToDate>false</LinksUpToDate>
  <CharactersWithSpaces>1228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2022-05-30T13:19:00Z</dcterms:created>
</cp:coreProperties>
</file>