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D62C7" w:rsidRDefault="009D62C7">
      <w:pPr>
        <w:pStyle w:val="1"/>
      </w:pPr>
      <w:r>
        <w:rPr>
          <w:rFonts w:hint="eastAsia"/>
        </w:rPr>
        <w:t>完善市场监管行政处罚自由裁量权的建议</w:t>
      </w:r>
    </w:p>
    <w:p w:rsidR="009D62C7" w:rsidRDefault="009D62C7">
      <w:pPr>
        <w:ind w:firstLine="420"/>
        <w:jc w:val="left"/>
      </w:pPr>
      <w:r>
        <w:rPr>
          <w:rFonts w:hint="eastAsia"/>
        </w:rPr>
        <w:t>肇庆市高要区市场监督管理局</w:t>
      </w:r>
      <w:r>
        <w:rPr>
          <w:rFonts w:hint="eastAsia"/>
        </w:rPr>
        <w:t xml:space="preserve"> </w:t>
      </w:r>
      <w:r>
        <w:rPr>
          <w:rFonts w:hint="eastAsia"/>
        </w:rPr>
        <w:t>公职律师</w:t>
      </w:r>
      <w:r>
        <w:rPr>
          <w:rFonts w:hint="eastAsia"/>
        </w:rPr>
        <w:t xml:space="preserve"> </w:t>
      </w:r>
      <w:r>
        <w:rPr>
          <w:rFonts w:hint="eastAsia"/>
        </w:rPr>
        <w:t>廖淑娟</w:t>
      </w:r>
    </w:p>
    <w:p w:rsidR="009D62C7" w:rsidRDefault="009D62C7">
      <w:pPr>
        <w:ind w:firstLine="420"/>
        <w:jc w:val="left"/>
      </w:pPr>
      <w:r>
        <w:rPr>
          <w:rFonts w:hint="eastAsia"/>
        </w:rPr>
        <w:t>根据《中华人民共和国行政处罚法》、《广东省规范行政处罚自由裁量权规定》及广东省市场监督管理局关于印发《广东省市场监督管理行政处罚自由裁量权的适用规则》《广东省市场监督管理局行政处罚自由裁量权标准》（粤市监规字〔</w:t>
      </w:r>
      <w:r>
        <w:rPr>
          <w:rFonts w:hint="eastAsia"/>
        </w:rPr>
        <w:t>2019</w:t>
      </w:r>
      <w:r>
        <w:rPr>
          <w:rFonts w:hint="eastAsia"/>
        </w:rPr>
        <w:t>〕</w:t>
      </w:r>
      <w:r>
        <w:rPr>
          <w:rFonts w:hint="eastAsia"/>
        </w:rPr>
        <w:t>8</w:t>
      </w:r>
      <w:r>
        <w:rPr>
          <w:rFonts w:hint="eastAsia"/>
        </w:rPr>
        <w:t>号）通知等法律法规和文件精神，为规范市场监督管理行政处罚自由裁量权，确保有法可依，合理行政，保障行政相对人的合法权益，结合现有行政处罚自由裁量权适用规则的落实情况，提出如下建议：</w:t>
      </w:r>
    </w:p>
    <w:p w:rsidR="009D62C7" w:rsidRDefault="009D62C7">
      <w:pPr>
        <w:ind w:firstLine="420"/>
        <w:jc w:val="left"/>
      </w:pPr>
      <w:r>
        <w:rPr>
          <w:rFonts w:hint="eastAsia"/>
        </w:rPr>
        <w:t>一、行政裁量权基准制度适用情况</w:t>
      </w:r>
    </w:p>
    <w:p w:rsidR="009D62C7" w:rsidRDefault="009D62C7">
      <w:pPr>
        <w:ind w:firstLine="420"/>
        <w:jc w:val="left"/>
      </w:pPr>
      <w:r>
        <w:rPr>
          <w:rFonts w:hint="eastAsia"/>
        </w:rPr>
        <w:t>目前，规范行政处罚自由裁量权工作作为依法行政的重要内容，行政机关普遍成立了法治政府建设领导小组，局长为领导小组组长，分管法制副局长具体负责依法行政工作。</w:t>
      </w:r>
    </w:p>
    <w:p w:rsidR="009D62C7" w:rsidRDefault="009D62C7">
      <w:pPr>
        <w:ind w:firstLine="420"/>
        <w:jc w:val="left"/>
      </w:pPr>
      <w:r>
        <w:rPr>
          <w:rFonts w:hint="eastAsia"/>
        </w:rPr>
        <w:t>行政机关普遍建立了重大行政处罚集体讨论制度，成立了行政执法案审会，定期召开行政处罚自由裁量具体适用及疑难问题座谈会，将规范行政执法行为的具体工作落实到具体的股室和基层所。</w:t>
      </w:r>
    </w:p>
    <w:p w:rsidR="009D62C7" w:rsidRDefault="009D62C7">
      <w:pPr>
        <w:ind w:firstLine="420"/>
        <w:jc w:val="left"/>
      </w:pPr>
      <w:r>
        <w:rPr>
          <w:rFonts w:hint="eastAsia"/>
        </w:rPr>
        <w:t>为贯彻落实《广东省行政执法责任制条例》，明确执法岗位责任，促进依法行政，</w:t>
      </w:r>
      <w:r>
        <w:rPr>
          <w:rFonts w:hint="eastAsia"/>
        </w:rPr>
        <w:t>2015</w:t>
      </w:r>
      <w:r>
        <w:rPr>
          <w:rFonts w:hint="eastAsia"/>
        </w:rPr>
        <w:t>年高市监局制定并印发了《肇庆市高要区市场监督管理局执法岗位责任制（试行）》的通知，确保了高市监局规范行政处罚自由裁量权工作顺利进行。</w:t>
      </w:r>
    </w:p>
    <w:p w:rsidR="009D62C7" w:rsidRDefault="009D62C7">
      <w:pPr>
        <w:ind w:firstLine="420"/>
        <w:jc w:val="left"/>
      </w:pPr>
      <w:r>
        <w:rPr>
          <w:rFonts w:hint="eastAsia"/>
        </w:rPr>
        <w:t>二、适用行政裁量权基准制度存在问题</w:t>
      </w:r>
    </w:p>
    <w:p w:rsidR="009D62C7" w:rsidRDefault="009D62C7">
      <w:pPr>
        <w:ind w:firstLine="420"/>
        <w:jc w:val="left"/>
      </w:pPr>
      <w:r>
        <w:rPr>
          <w:rFonts w:hint="eastAsia"/>
        </w:rPr>
        <w:t>目前，行政执法机关在行政执法过程中普遍适用的的行政裁量基准都是以人大代表大会通过或人大常务委员会议修改的法律及国务院相关组成部门或直属机构依据职能制定的相关法律、法规、部门规章，如《中华人民共和行政处罚法》、《中华人民共和国食品安全法》、《价格违法行为行政处罚规定》、《市场监督管理行政处罚暂行规定》等相关法律法规。广东省人民政府政府根据上位法制定了相关的行政裁量基准的法规，如《广东省市场监督管理局关于行政处罚自由裁量权的适用规则》、《广东省市场监督管理局行政处罚自由裁量权标准》、《广东省药品监督管理局规范行政处罚自由裁量权适用规则》等地方性法规。但是，这些地方性法规是遵照上位法落实执行，并未具体细化上位法的裁量基准。我国经济发展具有区域差异的特征，中西部发展不平衡，经济发展有很大差别。</w:t>
      </w:r>
    </w:p>
    <w:p w:rsidR="009D62C7" w:rsidRDefault="009D62C7">
      <w:pPr>
        <w:ind w:firstLine="420"/>
        <w:jc w:val="left"/>
      </w:pPr>
      <w:r>
        <w:rPr>
          <w:rFonts w:hint="eastAsia"/>
        </w:rPr>
        <w:t>例如广东省粤珠三角广州市、深圳市、佛山市、珠海市等经济发展与粤东西部地区的经济发展不平衡。行政机关在查处行政违法案件，如适用统一的裁量基准进行处罚，在省内经济发展较大差距的地市会产生不同的执法效果。相同的裁量标准，并不适宜经济发展差异的地市。不同案件的裁量基准不同，行政执法机关往往难以把握合理行政的处罚裁量幅度。如无证经营药品案件，货值金额十五倍以上三十倍以下的罚款；货值金额不足十万元的，按十万元计算。行政处罚决定对违法当事人处罚十万元的，在广州、佛山等珠三角地市行政处罚执行相对容易，而在西部地区执行就相对比较难。</w:t>
      </w:r>
    </w:p>
    <w:p w:rsidR="009D62C7" w:rsidRDefault="009D62C7">
      <w:pPr>
        <w:ind w:firstLine="420"/>
        <w:jc w:val="left"/>
      </w:pPr>
      <w:r>
        <w:rPr>
          <w:rFonts w:hint="eastAsia"/>
        </w:rPr>
        <w:t>三、完善行政裁量权基准制度的建议</w:t>
      </w:r>
    </w:p>
    <w:p w:rsidR="009D62C7" w:rsidRDefault="009D62C7">
      <w:pPr>
        <w:ind w:firstLine="420"/>
        <w:jc w:val="left"/>
      </w:pPr>
      <w:r>
        <w:rPr>
          <w:rFonts w:hint="eastAsia"/>
        </w:rPr>
        <w:t>（一）细化行政裁量基准制度</w:t>
      </w:r>
    </w:p>
    <w:p w:rsidR="009D62C7" w:rsidRDefault="009D62C7">
      <w:pPr>
        <w:ind w:firstLine="420"/>
        <w:jc w:val="left"/>
      </w:pPr>
      <w:r>
        <w:rPr>
          <w:rFonts w:hint="eastAsia"/>
        </w:rPr>
        <w:t>做作为基层执法人员，我们认为，在行政执法过程中，行政裁量基准应考虑地区经济发展差异，依法行政的同时做到合理行政，制定行之有效符合地市实际情况的行政裁量基准，细化上位法行政处罚尤其罚款的裁量基准，行政处罚决定作出后，让处罚执行实际而有效。避免“为了罚而罚”，达到教育目的，既惩戒了违法又达到良好的规范效果。</w:t>
      </w:r>
    </w:p>
    <w:p w:rsidR="009D62C7" w:rsidRDefault="009D62C7">
      <w:pPr>
        <w:ind w:firstLine="420"/>
        <w:jc w:val="left"/>
      </w:pPr>
      <w:r>
        <w:rPr>
          <w:rFonts w:hint="eastAsia"/>
        </w:rPr>
        <w:t>（二）完善行政执法电子监察系统</w:t>
      </w:r>
    </w:p>
    <w:p w:rsidR="009D62C7" w:rsidRDefault="009D62C7">
      <w:pPr>
        <w:ind w:firstLine="420"/>
        <w:jc w:val="left"/>
      </w:pPr>
      <w:r>
        <w:rPr>
          <w:rFonts w:hint="eastAsia"/>
        </w:rPr>
        <w:t>根据《广东省规范行政处罚自由裁量权规定》第二十一条“</w:t>
      </w:r>
      <w:r>
        <w:rPr>
          <w:rFonts w:hint="eastAsia"/>
        </w:rPr>
        <w:t xml:space="preserve"> </w:t>
      </w:r>
      <w:r>
        <w:rPr>
          <w:rFonts w:hint="eastAsia"/>
        </w:rPr>
        <w:t>县级以上人民政府及其所属部门应当通过行政执法监督检查、行政执法评议考核、行政执法案卷评查等方式，对规范行政处罚自由裁量权工作进行监督。规范行政处罚自由裁量权工作应当逐步纳入行政法电子监察系统。”本局认为在施行行政执法“双公示”平台的同时，应当在行政执法电子监察系统内设置对行政裁量权基准适用标准及条件，包括：行政处罚幅度、违法事实、性质、情节、社会危害程度等，设置可选的幅度及单处或并处选项等。完善行政执法电子监察系统既可以督促行政处罚实施机关建立健全行政执法责任制，又可加强行政处罚自由裁量权工作的规范和监督。</w:t>
      </w:r>
    </w:p>
    <w:p w:rsidR="009D62C7" w:rsidRDefault="009D62C7">
      <w:pPr>
        <w:ind w:firstLine="420"/>
        <w:jc w:val="left"/>
      </w:pPr>
      <w:r>
        <w:rPr>
          <w:rFonts w:hint="eastAsia"/>
        </w:rPr>
        <w:t>（三）加强行政裁量基准制度培训</w:t>
      </w:r>
    </w:p>
    <w:p w:rsidR="009D62C7" w:rsidRDefault="009D62C7">
      <w:pPr>
        <w:ind w:firstLine="420"/>
        <w:jc w:val="left"/>
      </w:pPr>
      <w:r>
        <w:rPr>
          <w:rFonts w:hint="eastAsia"/>
        </w:rPr>
        <w:t>我们认为真正的业务培训应该“理论</w:t>
      </w:r>
      <w:r>
        <w:rPr>
          <w:rFonts w:hint="eastAsia"/>
        </w:rPr>
        <w:t>+</w:t>
      </w:r>
      <w:r>
        <w:rPr>
          <w:rFonts w:hint="eastAsia"/>
        </w:rPr>
        <w:t>实践”，正确的法学理论指导实践，指导执法人员理解法律目的，这样可以减少执法人员在具体操作中的各种无从下手的现实问题，也可以避免本本主义，教条主义，僵化执行的现象。</w:t>
      </w:r>
    </w:p>
    <w:p w:rsidR="009D62C7" w:rsidRDefault="009D62C7">
      <w:pPr>
        <w:ind w:firstLine="420"/>
        <w:jc w:val="left"/>
      </w:pPr>
      <w:r>
        <w:rPr>
          <w:rFonts w:hint="eastAsia"/>
        </w:rPr>
        <w:t>行政执法机关应当定期开展行政裁量基准制度的相关宣传和培训，通过案例分析等方式，组织行政执法人员开展实务培训。区人民政府法制机构（司法行政机关）也应当协助、指导行政执法机关开展行政裁量基准制度的相关业务培训。通过对执法人员的定期实务培训，可切实提高行政执法业务水平，可更准确的把握行政裁量标准、幅度等适用规则。</w:t>
      </w:r>
    </w:p>
    <w:p w:rsidR="009D62C7" w:rsidRDefault="009D62C7">
      <w:pPr>
        <w:ind w:firstLine="420"/>
        <w:jc w:val="left"/>
      </w:pPr>
      <w:r>
        <w:rPr>
          <w:rFonts w:hint="eastAsia"/>
        </w:rPr>
        <w:t>（四）落实全面依法执法，制定行政执法程序规定</w:t>
      </w:r>
    </w:p>
    <w:p w:rsidR="009D62C7" w:rsidRDefault="009D62C7">
      <w:pPr>
        <w:ind w:firstLine="420"/>
        <w:jc w:val="left"/>
      </w:pPr>
      <w:r>
        <w:rPr>
          <w:rFonts w:hint="eastAsia"/>
        </w:rPr>
        <w:t>我们认为除了制定行政处罚自由裁量规定，行政许可、行政检查、行政征收、行政强制等都可以制定行政裁量基准制度或行政执法程序规定。细化规定行政执法程序中实际适用情形，行政执法程序依法由行政机关依职权启动。推行行政裁量基准制度，制定落实行政处罚自由裁量规定，到具体适用行政处罚自由裁量规定，基层执法对罚款的自由裁量规定适用较多，并把握不准，“有制度而不敢用”成了基层执法慎之又慎的症结所在。行政机关依职权启动程序才能真正做到全面依法行政，有法可依，维护行政相对人合法权益。例如：制定行政许可撤销（注销）程序规定，明确行政许可撤销（注销）法律适用范围，适用情形，行政裁量基准；审批事项、办理期限；明确规定行政许可撤销（注销）流程、调查取证办案机构；制定行政许可撤销（注销）执法文书，规范行政许可执法。</w:t>
      </w:r>
    </w:p>
    <w:p w:rsidR="009D62C7" w:rsidRDefault="009D62C7">
      <w:pPr>
        <w:ind w:firstLine="420"/>
        <w:jc w:val="right"/>
      </w:pPr>
      <w:r>
        <w:rPr>
          <w:rFonts w:hint="eastAsia"/>
        </w:rPr>
        <w:t>腾讯网</w:t>
      </w:r>
      <w:r>
        <w:rPr>
          <w:rFonts w:hint="eastAsia"/>
        </w:rPr>
        <w:t>2021-06-16</w:t>
      </w:r>
    </w:p>
    <w:p w:rsidR="009D62C7" w:rsidRDefault="009D62C7" w:rsidP="005847B2">
      <w:pPr>
        <w:sectPr w:rsidR="009D62C7" w:rsidSect="005847B2">
          <w:type w:val="continuous"/>
          <w:pgSz w:w="11906" w:h="16838"/>
          <w:pgMar w:top="1644" w:right="1236" w:bottom="1418" w:left="1814" w:header="851" w:footer="907" w:gutter="0"/>
          <w:pgNumType w:start="1"/>
          <w:cols w:space="720"/>
          <w:docGrid w:type="lines" w:linePitch="341" w:charSpace="2373"/>
        </w:sectPr>
      </w:pPr>
    </w:p>
    <w:p w:rsidR="00BC304A" w:rsidRDefault="00BC304A"/>
    <w:sectPr w:rsidR="00BC304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D62C7"/>
    <w:rsid w:val="009D62C7"/>
    <w:rsid w:val="00BC304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D62C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D62C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342</Words>
  <Characters>1953</Characters>
  <Application>Microsoft Office Word</Application>
  <DocSecurity>0</DocSecurity>
  <Lines>16</Lines>
  <Paragraphs>4</Paragraphs>
  <ScaleCrop>false</ScaleCrop>
  <Company>Microsoft</Company>
  <LinksUpToDate>false</LinksUpToDate>
  <CharactersWithSpaces>2291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2022-05-30T13:19:00Z</dcterms:created>
</cp:coreProperties>
</file>