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39AF" w:rsidRDefault="001A39AF">
      <w:pPr>
        <w:pStyle w:val="1"/>
      </w:pPr>
      <w:r>
        <w:rPr>
          <w:rFonts w:hint="eastAsia"/>
        </w:rPr>
        <w:t>青岛市市场监督管理局规范行政处罚自由裁量权优化法治化营商环境</w:t>
      </w:r>
    </w:p>
    <w:p w:rsidR="001A39AF" w:rsidRDefault="001A39AF">
      <w:pPr>
        <w:ind w:firstLine="420"/>
        <w:jc w:val="left"/>
      </w:pPr>
      <w:r>
        <w:rPr>
          <w:rFonts w:hint="eastAsia"/>
        </w:rPr>
        <w:t>近日，市市场监管局研究出台了《青岛市地方性法规、规章涉及市场监管领域的行政处罚裁量基准》（以下简称《裁量基准》），向社会公开发布。《裁量基准》是市市场监管局为规范行政处罚自由裁量权，促进严格规范公正文明执法，维护公民、法人和其他组织的合法权益出台的地方性法规、规章裁量基准。</w:t>
      </w:r>
    </w:p>
    <w:p w:rsidR="001A39AF" w:rsidRDefault="001A39AF">
      <w:pPr>
        <w:ind w:firstLine="420"/>
        <w:jc w:val="left"/>
      </w:pPr>
      <w:r>
        <w:rPr>
          <w:rFonts w:hint="eastAsia"/>
        </w:rPr>
        <w:t>一是“全”。《裁量基准》是对市场监管行政处罚裁量基准的进一步补充完善，填补了我市地方性法规、规章设定的市场监管领域行政处罚裁量基准方面的空白。在制定过程中，市市场监管局对我市</w:t>
      </w:r>
      <w:r>
        <w:rPr>
          <w:rFonts w:hint="eastAsia"/>
        </w:rPr>
        <w:t>249</w:t>
      </w:r>
      <w:r>
        <w:rPr>
          <w:rFonts w:hint="eastAsia"/>
        </w:rPr>
        <w:t>部现行有效的地方性法规、规章做了全面梳理，其中涉及市场监管行政处罚职责的地方性法规、规章</w:t>
      </w:r>
      <w:r>
        <w:rPr>
          <w:rFonts w:hint="eastAsia"/>
        </w:rPr>
        <w:t>13</w:t>
      </w:r>
      <w:r>
        <w:rPr>
          <w:rFonts w:hint="eastAsia"/>
        </w:rPr>
        <w:t>部，涵盖</w:t>
      </w:r>
      <w:r>
        <w:rPr>
          <w:rFonts w:hint="eastAsia"/>
        </w:rPr>
        <w:t>10</w:t>
      </w:r>
      <w:r>
        <w:rPr>
          <w:rFonts w:hint="eastAsia"/>
        </w:rPr>
        <w:t>类</w:t>
      </w:r>
      <w:r>
        <w:rPr>
          <w:rFonts w:hint="eastAsia"/>
        </w:rPr>
        <w:t>29</w:t>
      </w:r>
      <w:r>
        <w:rPr>
          <w:rFonts w:hint="eastAsia"/>
        </w:rPr>
        <w:t>项违法行为。《裁量基准》的制定，基本实现了我市市场监管领域从法律、行政法规、部委规章到地方性法规、规章的行政处罚裁量基准的全覆盖，对违法行为后果达到清晰明确，有利于为市场主体营造更加公开、透明、可预期的营商环境。</w:t>
      </w:r>
    </w:p>
    <w:p w:rsidR="001A39AF" w:rsidRDefault="001A39AF">
      <w:pPr>
        <w:ind w:firstLine="420"/>
        <w:jc w:val="left"/>
      </w:pPr>
      <w:r>
        <w:rPr>
          <w:rFonts w:hint="eastAsia"/>
        </w:rPr>
        <w:t>二是“新”。《裁量基准》涉及的</w:t>
      </w:r>
      <w:r>
        <w:rPr>
          <w:rFonts w:hint="eastAsia"/>
        </w:rPr>
        <w:t>29</w:t>
      </w:r>
      <w:r>
        <w:rPr>
          <w:rFonts w:hint="eastAsia"/>
        </w:rPr>
        <w:t>项违法行为中，有</w:t>
      </w:r>
      <w:r>
        <w:rPr>
          <w:rFonts w:hint="eastAsia"/>
        </w:rPr>
        <w:t>18</w:t>
      </w:r>
      <w:r>
        <w:rPr>
          <w:rFonts w:hint="eastAsia"/>
        </w:rPr>
        <w:t>项是根据新形势的变化对已有裁量基准做了调整，另外</w:t>
      </w:r>
      <w:r>
        <w:rPr>
          <w:rFonts w:hint="eastAsia"/>
        </w:rPr>
        <w:t>11</w:t>
      </w:r>
      <w:r>
        <w:rPr>
          <w:rFonts w:hint="eastAsia"/>
        </w:rPr>
        <w:t>项为初次明确行政处罚裁量基准。这</w:t>
      </w:r>
      <w:r>
        <w:rPr>
          <w:rFonts w:hint="eastAsia"/>
        </w:rPr>
        <w:t>11</w:t>
      </w:r>
      <w:r>
        <w:rPr>
          <w:rFonts w:hint="eastAsia"/>
        </w:rPr>
        <w:t>项有的是针对新修订法规、规章及时跟进细化裁量基准，例如，针对</w:t>
      </w:r>
      <w:r>
        <w:rPr>
          <w:rFonts w:hint="eastAsia"/>
        </w:rPr>
        <w:t>2020</w:t>
      </w:r>
      <w:r>
        <w:rPr>
          <w:rFonts w:hint="eastAsia"/>
        </w:rPr>
        <w:t>年</w:t>
      </w:r>
      <w:r>
        <w:rPr>
          <w:rFonts w:hint="eastAsia"/>
        </w:rPr>
        <w:t>7</w:t>
      </w:r>
      <w:r>
        <w:rPr>
          <w:rFonts w:hint="eastAsia"/>
        </w:rPr>
        <w:t>月</w:t>
      </w:r>
      <w:r>
        <w:rPr>
          <w:rFonts w:hint="eastAsia"/>
        </w:rPr>
        <w:t>24</w:t>
      </w:r>
      <w:r>
        <w:rPr>
          <w:rFonts w:hint="eastAsia"/>
        </w:rPr>
        <w:t>日公布，自</w:t>
      </w:r>
      <w:r>
        <w:rPr>
          <w:rFonts w:hint="eastAsia"/>
        </w:rPr>
        <w:t>2020</w:t>
      </w:r>
      <w:r>
        <w:rPr>
          <w:rFonts w:hint="eastAsia"/>
        </w:rPr>
        <w:t>年</w:t>
      </w:r>
      <w:r>
        <w:rPr>
          <w:rFonts w:hint="eastAsia"/>
        </w:rPr>
        <w:t>9</w:t>
      </w:r>
      <w:r>
        <w:rPr>
          <w:rFonts w:hint="eastAsia"/>
        </w:rPr>
        <w:t>月</w:t>
      </w:r>
      <w:r>
        <w:rPr>
          <w:rFonts w:hint="eastAsia"/>
        </w:rPr>
        <w:t>1</w:t>
      </w:r>
      <w:r>
        <w:rPr>
          <w:rFonts w:hint="eastAsia"/>
        </w:rPr>
        <w:t>日起施行的《青岛市禁止焚烧抛洒丧葬祭奠物品规定》，明确了对销售封建迷信丧葬物品行政处罚的裁量标准。有的是针对原有法规、规章进一步细化处罚标准，例如，禁止吸烟场所的经营者违反《青岛市控制吸烟条例》不履行管理职责的行为，海水浴场经营业户尾随、纠缠、胁迫游客强制交易等违法行为，对其完善裁量基准，极大提高了有关法律条款的可操作性，为法规、规章切实落地提供了保障。</w:t>
      </w:r>
    </w:p>
    <w:p w:rsidR="001A39AF" w:rsidRDefault="001A39AF">
      <w:pPr>
        <w:ind w:firstLine="420"/>
        <w:jc w:val="left"/>
      </w:pPr>
      <w:r>
        <w:rPr>
          <w:rFonts w:hint="eastAsia"/>
        </w:rPr>
        <w:t>三是“细”。细化后的裁量基准主要包括法律依据、违法情形和处罚标准三方面内容。对每项行政处罚条款按照违法行为的事实、性质、情节、社会危害程度等按由轻到重的顺序将违法情形进行排序归纳，区分不同情形划分不同处罚阶次，其中阶次最多的划分为五档：较轻、一般、较重、严重、特别严重。为避免一刀切，综合考量法条具体规定和执法实践，对一些规定处罚幅度较小的条款，按照实际将裁量标准调整为四档、三档或者两档；对处罚种类、罚款数额未设定幅度的条款不划分裁量标准。这种精细划分将有效提升执法的公正性和精准性，实现同类案件由</w:t>
      </w:r>
      <w:r>
        <w:rPr>
          <w:rFonts w:hint="eastAsia"/>
        </w:rPr>
        <w:t xml:space="preserve"> </w:t>
      </w:r>
      <w:r>
        <w:rPr>
          <w:rFonts w:hint="eastAsia"/>
        </w:rPr>
        <w:t>“一把尺子”来规范，极大降低企业担心同类案件处罚标准不同的顾虑，为各类市场主体打造公平的竞争环境。</w:t>
      </w:r>
    </w:p>
    <w:p w:rsidR="001A39AF" w:rsidRDefault="001A39AF">
      <w:pPr>
        <w:ind w:firstLine="420"/>
        <w:jc w:val="left"/>
      </w:pPr>
      <w:r>
        <w:rPr>
          <w:rFonts w:hint="eastAsia"/>
        </w:rPr>
        <w:t>规范行政处罚自由裁量权，细化裁量基准，是市场监管部门运用法治化方式优化营商环境的又一项积极举措，是推进法治政府建设工作，提升法治化水平，打造“三化三型”政务服务环境的重要内容。细化量化后的裁量基准一方面将为执法人员提供更加明确具体的执行标准，另一方面，也是给市场监管行政处罚自由裁量上“紧箍”，是对行政处罚自由裁量权的主动制约和监督，更重要的是，在营商环境建设中更好发挥法治的引领和规范作用，为各类市场主体投资兴业提供坚强制度保障。</w:t>
      </w:r>
    </w:p>
    <w:p w:rsidR="001A39AF" w:rsidRDefault="001A39AF">
      <w:pPr>
        <w:ind w:firstLine="420"/>
        <w:jc w:val="right"/>
      </w:pPr>
      <w:r>
        <w:rPr>
          <w:rFonts w:hint="eastAsia"/>
        </w:rPr>
        <w:t>澎湃新闻</w:t>
      </w:r>
      <w:r>
        <w:rPr>
          <w:rFonts w:hint="eastAsia"/>
        </w:rPr>
        <w:t>2020-10-21</w:t>
      </w:r>
    </w:p>
    <w:p w:rsidR="001A39AF" w:rsidRDefault="001A39AF" w:rsidP="005847B2">
      <w:pPr>
        <w:sectPr w:rsidR="001A39AF" w:rsidSect="005847B2">
          <w:type w:val="continuous"/>
          <w:pgSz w:w="11906" w:h="16838"/>
          <w:pgMar w:top="1644" w:right="1236" w:bottom="1418" w:left="1814" w:header="851" w:footer="907" w:gutter="0"/>
          <w:pgNumType w:start="1"/>
          <w:cols w:space="720"/>
          <w:docGrid w:type="lines" w:linePitch="341" w:charSpace="2373"/>
        </w:sectPr>
      </w:pPr>
    </w:p>
    <w:p w:rsidR="009D73C8" w:rsidRDefault="009D73C8"/>
    <w:sectPr w:rsidR="009D73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A39AF"/>
    <w:rsid w:val="001A39AF"/>
    <w:rsid w:val="009D73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39A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39A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1071</Characters>
  <Application>Microsoft Office Word</Application>
  <DocSecurity>0</DocSecurity>
  <Lines>8</Lines>
  <Paragraphs>2</Paragraphs>
  <ScaleCrop>false</ScaleCrop>
  <Company>Microsoft</Company>
  <LinksUpToDate>false</LinksUpToDate>
  <CharactersWithSpaces>1256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