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19D" w:rsidRDefault="000F419D">
      <w:pPr>
        <w:pStyle w:val="1"/>
      </w:pPr>
      <w:r>
        <w:rPr>
          <w:rFonts w:hint="eastAsia"/>
        </w:rPr>
        <w:t>“3+2+1”——雅安法院创新工作体系助推市域社会治理现代化</w:t>
      </w:r>
    </w:p>
    <w:p w:rsidR="000F419D" w:rsidRDefault="000F419D">
      <w:r>
        <w:rPr>
          <w:rFonts w:hint="eastAsia"/>
        </w:rPr>
        <w:t xml:space="preserve">　　“要主动将法院工作融入社会基层治理工作中，把智慧法院建设成果体现到运用上，进一步完善线上线下全方位、立体化的诉讼服务……”</w:t>
      </w:r>
    </w:p>
    <w:p w:rsidR="000F419D" w:rsidRDefault="000F419D">
      <w:r>
        <w:rPr>
          <w:rFonts w:hint="eastAsia"/>
        </w:rPr>
        <w:t xml:space="preserve">　　</w:t>
      </w:r>
      <w:r>
        <w:rPr>
          <w:rFonts w:hint="eastAsia"/>
        </w:rPr>
        <w:t>3</w:t>
      </w:r>
      <w:r>
        <w:rPr>
          <w:rFonts w:hint="eastAsia"/>
        </w:rPr>
        <w:t>月</w:t>
      </w:r>
      <w:r>
        <w:rPr>
          <w:rFonts w:hint="eastAsia"/>
        </w:rPr>
        <w:t>31</w:t>
      </w:r>
      <w:r>
        <w:rPr>
          <w:rFonts w:hint="eastAsia"/>
        </w:rPr>
        <w:t>日</w:t>
      </w:r>
      <w:r>
        <w:rPr>
          <w:rFonts w:hint="eastAsia"/>
        </w:rPr>
        <w:t>-4</w:t>
      </w:r>
      <w:r>
        <w:rPr>
          <w:rFonts w:hint="eastAsia"/>
        </w:rPr>
        <w:t>月</w:t>
      </w:r>
      <w:r>
        <w:rPr>
          <w:rFonts w:hint="eastAsia"/>
        </w:rPr>
        <w:t>1</w:t>
      </w:r>
      <w:r>
        <w:rPr>
          <w:rFonts w:hint="eastAsia"/>
        </w:rPr>
        <w:t>日，雅安中院召开全市法院深化诉源治理和诉讼服务中心建设暨“</w:t>
      </w:r>
      <w:r>
        <w:rPr>
          <w:rFonts w:hint="eastAsia"/>
        </w:rPr>
        <w:t>3+2+1</w:t>
      </w:r>
      <w:r>
        <w:rPr>
          <w:rFonts w:hint="eastAsia"/>
        </w:rPr>
        <w:t>”工作体系建设推进会。会议对最高人民法院人民调解平台、全国法院统一送达平台、“云上法庭”互联网法庭系统运用进行培训，分享交流了名山区人民法院诉讼服务中心设计思路，并重点就如何在</w:t>
      </w:r>
      <w:r>
        <w:rPr>
          <w:rFonts w:hint="eastAsia"/>
        </w:rPr>
        <w:t>2020</w:t>
      </w:r>
      <w:r>
        <w:rPr>
          <w:rFonts w:hint="eastAsia"/>
        </w:rPr>
        <w:t>年启动和完成“</w:t>
      </w:r>
      <w:r>
        <w:rPr>
          <w:rFonts w:hint="eastAsia"/>
        </w:rPr>
        <w:t>24</w:t>
      </w:r>
      <w:r>
        <w:rPr>
          <w:rFonts w:hint="eastAsia"/>
        </w:rPr>
        <w:t>小时自助法院”建设、启动和完成互联网法庭建设、启动和完成辅助事务外包等工作进行安排部署。</w:t>
      </w:r>
    </w:p>
    <w:p w:rsidR="000F419D" w:rsidRDefault="000F419D">
      <w:r>
        <w:rPr>
          <w:rFonts w:hint="eastAsia"/>
        </w:rPr>
        <w:t xml:space="preserve">　　</w:t>
      </w:r>
      <w:r>
        <w:rPr>
          <w:rFonts w:hint="eastAsia"/>
        </w:rPr>
        <w:t>2019</w:t>
      </w:r>
      <w:r>
        <w:rPr>
          <w:rFonts w:hint="eastAsia"/>
        </w:rPr>
        <w:t>年以来，雅安法院主动将法院工作融入推进城乡基层治理制度创新和能力建设大局，逐步构建起以“诉源治理”“诉非衔接”“分调裁审”为“三个强力支点”，以依托社会治理推进诉前解纷、调审一体化推进诉内治理为“两个完整闭环”，以现代化诉讼服务中心为“一个高效枢纽”的“</w:t>
      </w:r>
      <w:r>
        <w:rPr>
          <w:rFonts w:hint="eastAsia"/>
        </w:rPr>
        <w:t>3+2+1</w:t>
      </w:r>
      <w:r>
        <w:rPr>
          <w:rFonts w:hint="eastAsia"/>
        </w:rPr>
        <w:t>”工作体系，各项工作取得新进展，为市域社会治理现代化贡献雅安法院力量。</w:t>
      </w:r>
    </w:p>
    <w:p w:rsidR="000F419D" w:rsidRDefault="000F419D">
      <w:r>
        <w:rPr>
          <w:rFonts w:hint="eastAsia"/>
        </w:rPr>
        <w:t xml:space="preserve">　　一是完善诉源治理机制，形成党委主抓矛盾纠纷体系化预防治理工作大格局</w:t>
      </w:r>
    </w:p>
    <w:p w:rsidR="000F419D" w:rsidRDefault="000F419D">
      <w:r>
        <w:rPr>
          <w:rFonts w:hint="eastAsia"/>
        </w:rPr>
        <w:t xml:space="preserve">　　依靠党委总揽全局、协调各方的领导核心作用，积极主动融入党政中心大局有新突破。借力借势，源头治理格局得到提升。积极争取党政支持，市“两办”联合印发由雅安中院代拟的《关于深化“诉源治理”助力加快建设绿色发展示范市的实施方案》，从建立健全矛盾纠纷预防化解体系、法律服务工作体系和村（社区）自治体系三个方面提出</w:t>
      </w:r>
      <w:r>
        <w:rPr>
          <w:rFonts w:hint="eastAsia"/>
        </w:rPr>
        <w:t>19</w:t>
      </w:r>
      <w:r>
        <w:rPr>
          <w:rFonts w:hint="eastAsia"/>
        </w:rPr>
        <w:t>项具体措施，逐一确定责任部门、完成时限、考评标准，实现诉源治理从“法院主推”到“党委主抓”的战略提升转变。依靠党委总揽全局、协调各方的领导核心作用，积极主动融入党政中心大局有新突破。夯实基础，源头治理成效初步显现。与市综治办联合印发通知，将民商事案件万人起诉率纳入各县（区）社会治安综合治理考评，压紧压实源头减少诉讼增量责任。全市法院新收民事案件同比下降</w:t>
      </w:r>
      <w:r>
        <w:rPr>
          <w:rFonts w:hint="eastAsia"/>
        </w:rPr>
        <w:t>4.1%</w:t>
      </w:r>
      <w:r>
        <w:rPr>
          <w:rFonts w:hint="eastAsia"/>
        </w:rPr>
        <w:t>，实现近年来的首次负增长，诉源治理取得实质化成效。注重引领，源头治理效应明显增强。突出乡村（社区）这一社会治理基本单元的职能作用，积极延伸审判职能，开展“双百四进”法治宣传和“无讼村组、无讼社区”法治创建，引导形成“小事不出村社、大事不出乡镇”的理念和氛围，扎实推进系统治理、依法治理、综合治理、源头治理。两级法院先后为打造名山区高岗村、天全县凤翔新民小区等受到中央、省委省政府表彰肯定的先进典型提供法治保障。</w:t>
      </w:r>
    </w:p>
    <w:p w:rsidR="000F419D" w:rsidRDefault="000F419D">
      <w:r>
        <w:rPr>
          <w:rFonts w:hint="eastAsia"/>
        </w:rPr>
        <w:t xml:space="preserve">　　二是完善“诉非衔接”机制，形成以社会治理为依托的诉前解纷工作闭环</w:t>
      </w:r>
    </w:p>
    <w:p w:rsidR="000F419D" w:rsidRDefault="000F419D">
      <w:r>
        <w:rPr>
          <w:rFonts w:hint="eastAsia"/>
        </w:rPr>
        <w:t xml:space="preserve">　　坚持将非诉讼纠纷解决机制挺在前面，诉前化解纠纷有新突破。深入调研，创新思路。全面分析全市法院案件规模结构和诉前解纷机制，在两级法院设立专门综合性人民调解组织，在法官指导下开展诉前解纷并现场进行司法确认。在全市启动“调解组织建在法院”品牌工程，解决传统行业性调解组织功能单一、专业化程度不高、缺乏及时法律指导、调解成果得不到固化等问题。搭平台、建机制，实质运行。与市司法局联合印发《关于进一步加强司法调解与人民调解衔接配合工作的通知》，要求市、县（区）统一新设“诉调对接人民调解委员会”，并聘请</w:t>
      </w:r>
      <w:r>
        <w:rPr>
          <w:rFonts w:hint="eastAsia"/>
        </w:rPr>
        <w:t>2</w:t>
      </w:r>
      <w:r>
        <w:rPr>
          <w:rFonts w:hint="eastAsia"/>
        </w:rPr>
        <w:t>名以上专职调解员入驻法院诉讼服务中心，常态长效开展诉前解纷。市多元化解办、市司法局和市财政局随即响应，联合发文强化保障，人民调解员可享受最高达</w:t>
      </w:r>
      <w:r>
        <w:rPr>
          <w:rFonts w:hint="eastAsia"/>
        </w:rPr>
        <w:t>10000</w:t>
      </w:r>
      <w:r>
        <w:rPr>
          <w:rFonts w:hint="eastAsia"/>
        </w:rPr>
        <w:t>元的个案补贴，调解积极性明显提高。优化流程，普惠于民。重塑优化从人民调解到司法确认再到强制执行全业务流程。对诉前发现的规模性诉讼风险和敏感复杂问题，及时通报党委政法委和基层组织协调处理。截止目前，向诉调对接人民调解委员会委托调解案件</w:t>
      </w:r>
      <w:r>
        <w:rPr>
          <w:rFonts w:hint="eastAsia"/>
        </w:rPr>
        <w:t>1771</w:t>
      </w:r>
      <w:r>
        <w:rPr>
          <w:rFonts w:hint="eastAsia"/>
        </w:rPr>
        <w:t>件，除相当部分当事人放弃诉讼外，有</w:t>
      </w:r>
      <w:r>
        <w:rPr>
          <w:rFonts w:hint="eastAsia"/>
        </w:rPr>
        <w:t>524</w:t>
      </w:r>
      <w:r>
        <w:rPr>
          <w:rFonts w:hint="eastAsia"/>
        </w:rPr>
        <w:t>件调解成功并由人民法院同步司法确认，为群众提供分层次、多途径、高效率、低成本的解纷途径。</w:t>
      </w:r>
    </w:p>
    <w:p w:rsidR="000F419D" w:rsidRDefault="000F419D">
      <w:r>
        <w:rPr>
          <w:rFonts w:hint="eastAsia"/>
        </w:rPr>
        <w:t xml:space="preserve">　　三是完善分调裁审机制，形成以调审一体化为特点的诉内治理工作闭环</w:t>
      </w:r>
    </w:p>
    <w:p w:rsidR="000F419D" w:rsidRDefault="000F419D">
      <w:r>
        <w:rPr>
          <w:rFonts w:hint="eastAsia"/>
        </w:rPr>
        <w:t xml:space="preserve">　　围绕“努力让人民群众在每一个司法案件中感受到公平正义”目标，通过诉内治理改进工作、提高质效有新突破。配齐建强“两个团队”。坚持将最优质的审判力量和最充足的辅助人员配备到诉讼服务中心前端。两级法院均成立速裁快审团队，用</w:t>
      </w:r>
      <w:r>
        <w:rPr>
          <w:rFonts w:hint="eastAsia"/>
        </w:rPr>
        <w:t>20%</w:t>
      </w:r>
      <w:r>
        <w:rPr>
          <w:rFonts w:hint="eastAsia"/>
        </w:rPr>
        <w:t>的审判力量审结</w:t>
      </w:r>
      <w:r>
        <w:rPr>
          <w:rFonts w:hint="eastAsia"/>
        </w:rPr>
        <w:t>80%</w:t>
      </w:r>
      <w:r>
        <w:rPr>
          <w:rFonts w:hint="eastAsia"/>
        </w:rPr>
        <w:t>的简单案件，案件平均审理天数始终保持低于</w:t>
      </w:r>
      <w:r>
        <w:rPr>
          <w:rFonts w:hint="eastAsia"/>
        </w:rPr>
        <w:t>50</w:t>
      </w:r>
      <w:r>
        <w:rPr>
          <w:rFonts w:hint="eastAsia"/>
        </w:rPr>
        <w:t>天的满意值指标要求。新冠肺炎疫情防控期间，简案快审团队积极运用互联网平台庭审畅通预约开庭、短信通知、实名认证、电子送达、在线庭审、远程手机签名全流程在线审理模式，在线审理民事案件</w:t>
      </w:r>
      <w:r>
        <w:rPr>
          <w:rFonts w:hint="eastAsia"/>
        </w:rPr>
        <w:t>19</w:t>
      </w:r>
      <w:r>
        <w:rPr>
          <w:rFonts w:hint="eastAsia"/>
        </w:rPr>
        <w:t>件，审结</w:t>
      </w:r>
      <w:r>
        <w:rPr>
          <w:rFonts w:hint="eastAsia"/>
        </w:rPr>
        <w:t>16</w:t>
      </w:r>
      <w:r>
        <w:rPr>
          <w:rFonts w:hint="eastAsia"/>
        </w:rPr>
        <w:t>件。探索调审一体化运行新模式。将诉调对接人民调解委员会的调解员编入速裁快审团队一体化运行。建立法官和调解员共同进行诉讼辅导、微法院注册、材料初检、预立案登记、前置调解、案件庭审、判后释疑等一体化运行模式。探索律师、法律工作者和调解员参与信访工作。在人民陪审员中选聘人民调解员，实现“两员”合一。推动工作创新质变为长效机制。雅安法院的一体化运行模式，受到市委充分肯定。市委书记主持召开市委全面深化改革委员会第四次会议，审议并通过《关于推进第三方调解与司法调解速裁一体化机制建设的实施方案》，由市委政法委印发全市贯彻执行，标志着此项工作由法院首创到全市推广的跃升。</w:t>
      </w:r>
    </w:p>
    <w:p w:rsidR="000F419D" w:rsidRDefault="000F419D">
      <w:r>
        <w:rPr>
          <w:rFonts w:hint="eastAsia"/>
        </w:rPr>
        <w:t xml:space="preserve">　　四是推进“两个一站式”建设，强化现代化诉讼服务中心的枢纽作用</w:t>
      </w:r>
    </w:p>
    <w:p w:rsidR="000F419D" w:rsidRDefault="000F419D">
      <w:pPr>
        <w:ind w:firstLine="423"/>
      </w:pPr>
      <w:r>
        <w:rPr>
          <w:rFonts w:hint="eastAsia"/>
        </w:rPr>
        <w:t>高度重视诉讼服务中心工作，“两个一站式”建设有新突破。功能布局提档升级。统筹全市法院诉讼服务中心升级提档，统一规范设置诉讼辅导、自助服务、第三方服务等九大功能区。积极引入社会化服务和有效剥离辅助事务，各项工作逐步从后台走向前台、从分散走向集中。积极运用现代信息技术，通过自助服务终端、网上诉讼服务中心和“四川微法院”延伸司法服务触角，实现“一站通办、一网通办、一次通办”。实质解纷高效权威。通过“调解组织建在法院”工程，引入社会化解纷力量；通过速裁快审团队，注入司法裁判功能，坚持把诉讼服务中心建成外联社会治理、内衔执法办案，连接矛盾纠纷非诉处理和多层次诉讼程序分流的中心枢纽。雅安中院被评为全省首批“诉讼服务中心建设示范法院”，立案庭被评为全国法院先进集体。法治引领有形有范。致力打造有深度、有力度、有温度的诉讼服务全媒体宣传品牌，司法宣传工作受到最高法院表彰。</w:t>
      </w:r>
    </w:p>
    <w:p w:rsidR="000F419D" w:rsidRDefault="000F419D">
      <w:pPr>
        <w:ind w:firstLine="423"/>
        <w:jc w:val="right"/>
      </w:pPr>
      <w:r>
        <w:rPr>
          <w:rFonts w:hint="eastAsia"/>
        </w:rPr>
        <w:t>雅安法院</w:t>
      </w:r>
      <w:r>
        <w:rPr>
          <w:rFonts w:hint="eastAsia"/>
        </w:rPr>
        <w:t>2020-04-02</w:t>
      </w:r>
    </w:p>
    <w:p w:rsidR="000F419D" w:rsidRDefault="000F419D" w:rsidP="00792463">
      <w:pPr>
        <w:sectPr w:rsidR="000F419D" w:rsidSect="00792463">
          <w:type w:val="continuous"/>
          <w:pgSz w:w="11906" w:h="16838"/>
          <w:pgMar w:top="1644" w:right="1236" w:bottom="1418" w:left="1814" w:header="851" w:footer="907" w:gutter="0"/>
          <w:pgNumType w:start="1"/>
          <w:cols w:space="720"/>
          <w:docGrid w:type="lines" w:linePitch="341" w:charSpace="2373"/>
        </w:sectPr>
      </w:pPr>
    </w:p>
    <w:p w:rsidR="001D3266" w:rsidRDefault="001D3266"/>
    <w:sectPr w:rsidR="001D32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419D"/>
    <w:rsid w:val="000F419D"/>
    <w:rsid w:val="001D32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41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41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2189</Characters>
  <Application>Microsoft Office Word</Application>
  <DocSecurity>0</DocSecurity>
  <Lines>18</Lines>
  <Paragraphs>5</Paragraphs>
  <ScaleCrop>false</ScaleCrop>
  <Company>Microsoft</Company>
  <LinksUpToDate>false</LinksUpToDate>
  <CharactersWithSpaces>2568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