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60BE" w:rsidRDefault="00DD60BE">
      <w:pPr>
        <w:pStyle w:val="1"/>
      </w:pPr>
      <w:r>
        <w:rPr>
          <w:rFonts w:hint="eastAsia"/>
        </w:rPr>
        <w:t>搞好“十四五”司法保障规划服务审判执行工作</w:t>
      </w:r>
    </w:p>
    <w:p w:rsidR="00DD60BE" w:rsidRDefault="00DD60BE">
      <w:pPr>
        <w:jc w:val="left"/>
      </w:pPr>
      <w:r>
        <w:rPr>
          <w:rFonts w:hint="eastAsia"/>
        </w:rPr>
        <w:t>    按照中央确定的司法体制改革时间表，省以下法院人财物即将实施，人民法院司法保障工作“十四五”规划，更多的是顶层设计为准。根据基层法院目前司法保障工作的现状和发展展望，提出以下框架性建议：</w:t>
      </w:r>
    </w:p>
    <w:p w:rsidR="00DD60BE" w:rsidRDefault="00DD60BE">
      <w:pPr>
        <w:jc w:val="left"/>
      </w:pPr>
      <w:r>
        <w:rPr>
          <w:rFonts w:hint="eastAsia"/>
        </w:rPr>
        <w:t>    （一）编制“十四五”规划指导思想</w:t>
      </w:r>
    </w:p>
    <w:p w:rsidR="00DD60BE" w:rsidRDefault="00DD60BE">
      <w:pPr>
        <w:jc w:val="left"/>
      </w:pPr>
      <w:r>
        <w:rPr>
          <w:rFonts w:hint="eastAsia"/>
        </w:rPr>
        <w:t>    以习近平新时代中国特色社会主义思想为指导，坚持以审判为中心，提高对法院司法保障工作重要性的认识。创新建立健全物资装备管理水平，加强两庭建设和智慧法院建设，为审判执行工作提供全方位的优质服务，逐步实现法院保障工作制度化、规范化和科学化，保障审判质量和效率不断提高，进一步促进现代化法院建设</w:t>
      </w:r>
    </w:p>
    <w:p w:rsidR="00DD60BE" w:rsidRDefault="00DD60BE">
      <w:pPr>
        <w:jc w:val="left"/>
      </w:pPr>
      <w:r>
        <w:rPr>
          <w:rFonts w:hint="eastAsia"/>
        </w:rPr>
        <w:t>    （二）“十四五”规划的主要内容</w:t>
      </w:r>
    </w:p>
    <w:p w:rsidR="00DD60BE" w:rsidRDefault="00DD60BE">
      <w:pPr>
        <w:jc w:val="left"/>
      </w:pPr>
      <w:r>
        <w:rPr>
          <w:rFonts w:hint="eastAsia"/>
        </w:rPr>
        <w:t>    </w:t>
      </w:r>
      <w:r>
        <w:rPr>
          <w:rFonts w:hint="eastAsia"/>
        </w:rPr>
        <w:t>1</w:t>
      </w:r>
      <w:r>
        <w:rPr>
          <w:rFonts w:hint="eastAsia"/>
        </w:rPr>
        <w:t>、统一足额保障法院办公办案经费，统一配足物资装备。</w:t>
      </w:r>
    </w:p>
    <w:p w:rsidR="00DD60BE" w:rsidRDefault="00DD60BE">
      <w:pPr>
        <w:jc w:val="left"/>
      </w:pPr>
      <w:r>
        <w:rPr>
          <w:rFonts w:hint="eastAsia"/>
        </w:rPr>
        <w:t>    一是应提高编制预算的科学性和经费分配的合理性，借鉴域外预算机制的经验，健全制度、严格监管、提高效益。财务部门在对法院物资装备资产全面清查核资的基础上，对物资装备购置预算要作全盘考虑，通过加强资产购置的预算管理，从资金来源上加强有效控制，对当年未列入预算计划的配备，坚决不予购置。</w:t>
      </w:r>
    </w:p>
    <w:p w:rsidR="00DD60BE" w:rsidRDefault="00DD60BE">
      <w:pPr>
        <w:jc w:val="left"/>
      </w:pPr>
      <w:r>
        <w:rPr>
          <w:rFonts w:hint="eastAsia"/>
        </w:rPr>
        <w:t>    二是对各基层法院提出的固定资产购置预算报告，不能有求必应，应根据各法院职能的实际需求给予以配备。在合理配备标准的基础上杜绝铺张浪费，并在不影响正常工作前提下考虑各法院之间所配备的资源相互协调使用，提高物资装备的使用效率。</w:t>
      </w:r>
    </w:p>
    <w:p w:rsidR="00DD60BE" w:rsidRDefault="00DD60BE">
      <w:pPr>
        <w:jc w:val="left"/>
      </w:pPr>
      <w:r>
        <w:rPr>
          <w:rFonts w:hint="eastAsia"/>
        </w:rPr>
        <w:t>    三是实际经费管理机构法制化、人员专业化，并配备足够的人员，财务人员不能兼职，每个基层法院必须保证财务科的建立，保证会计和出纳同时配备，以保障经费管理的科学化、规范化，从源头上杜绝违反财务制度的情况发生。</w:t>
      </w:r>
    </w:p>
    <w:p w:rsidR="00DD60BE" w:rsidRDefault="00DD60BE">
      <w:pPr>
        <w:jc w:val="left"/>
      </w:pPr>
      <w:r>
        <w:rPr>
          <w:rFonts w:hint="eastAsia"/>
        </w:rPr>
        <w:t>    </w:t>
      </w:r>
      <w:r>
        <w:rPr>
          <w:rFonts w:hint="eastAsia"/>
        </w:rPr>
        <w:t>2</w:t>
      </w:r>
      <w:r>
        <w:rPr>
          <w:rFonts w:hint="eastAsia"/>
        </w:rPr>
        <w:t>、进一步提高信息化运用水平，加强智慧法院建设。</w:t>
      </w:r>
    </w:p>
    <w:p w:rsidR="00DD60BE" w:rsidRDefault="00DD60BE">
      <w:pPr>
        <w:jc w:val="left"/>
      </w:pPr>
      <w:r>
        <w:rPr>
          <w:rFonts w:hint="eastAsia"/>
        </w:rPr>
        <w:t>    一是利用国家电子政务外网和互联网，建设和完善对外司法服务网络。完善门户网站建设，继续完善网上立案、网上法庭等便民化措施，将法院门户网站逐渐建设为对外的形象展示平台、便民诉讼平台。</w:t>
      </w:r>
    </w:p>
    <w:p w:rsidR="00DD60BE" w:rsidRDefault="00DD60BE">
      <w:pPr>
        <w:jc w:val="left"/>
      </w:pPr>
      <w:r>
        <w:rPr>
          <w:rFonts w:hint="eastAsia"/>
        </w:rPr>
        <w:t>    二是探索建立办公自动化平台。以促进审判公开，规范司法行为，提高审判质量为目标，完善审判流程公开、裁判文书公开、执行信息公开三大平台。实现自动化平台对审判工作、执行工作、档案管理工作、审判管理工作、人事行政工作全业务、全流程覆盖。</w:t>
      </w:r>
    </w:p>
    <w:p w:rsidR="00DD60BE" w:rsidRDefault="00DD60BE">
      <w:pPr>
        <w:jc w:val="right"/>
      </w:pPr>
      <w:r>
        <w:rPr>
          <w:rFonts w:hint="eastAsia"/>
        </w:rPr>
        <w:t>二七区法院</w:t>
      </w:r>
      <w:r>
        <w:rPr>
          <w:rFonts w:hint="eastAsia"/>
        </w:rPr>
        <w:t>2020-10-26</w:t>
      </w:r>
    </w:p>
    <w:p w:rsidR="00DD60BE" w:rsidRDefault="00DD60BE" w:rsidP="00E71F6B">
      <w:pPr>
        <w:sectPr w:rsidR="00DD60BE" w:rsidSect="00E71F6B">
          <w:type w:val="continuous"/>
          <w:pgSz w:w="11906" w:h="16838"/>
          <w:pgMar w:top="1644" w:right="1236" w:bottom="1418" w:left="1814" w:header="851" w:footer="907" w:gutter="0"/>
          <w:pgNumType w:start="1"/>
          <w:cols w:space="720"/>
          <w:docGrid w:type="lines" w:linePitch="341" w:charSpace="2373"/>
        </w:sectPr>
      </w:pPr>
    </w:p>
    <w:p w:rsidR="001B767E" w:rsidRDefault="001B767E"/>
    <w:sectPr w:rsidR="001B76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60BE"/>
    <w:rsid w:val="001B767E"/>
    <w:rsid w:val="00DD60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60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60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821</Characters>
  <Application>Microsoft Office Word</Application>
  <DocSecurity>0</DocSecurity>
  <Lines>6</Lines>
  <Paragraphs>1</Paragraphs>
  <ScaleCrop>false</ScaleCrop>
  <Company>Microsoft</Company>
  <LinksUpToDate>false</LinksUpToDate>
  <CharactersWithSpaces>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