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162" w:rsidRDefault="00471162" w:rsidP="00471162">
      <w:pPr>
        <w:pStyle w:val="1"/>
      </w:pPr>
      <w:bookmarkStart w:id="0" w:name="_Toc18389"/>
      <w:r>
        <w:rPr>
          <w:rFonts w:hint="eastAsia"/>
        </w:rPr>
        <w:t>稽查“利剑”促税收营商环境持续优化 累计挽回损失850.15亿元</w:t>
      </w:r>
      <w:bookmarkEnd w:id="0"/>
    </w:p>
    <w:p w:rsidR="00471162" w:rsidRDefault="00471162" w:rsidP="00471162">
      <w:pPr>
        <w:ind w:firstLine="420"/>
        <w:jc w:val="left"/>
      </w:pPr>
      <w:r>
        <w:rPr>
          <w:rFonts w:hint="eastAsia"/>
        </w:rPr>
        <w:t>近年来，全国税务系统围绕进一步优化税务执法方式，紧盯“假企业”“假出口”“假申报”等涉税违法行为重拳精准打击。最新统计显示，截至目前，打击“三假”累计查处涉嫌虚开骗税企业32.23万户，挽回损失850.15亿元。这项工作取得哪些具体成效，下一步还将采取哪些措施？就相关问题，记者采访了国家税务总局稽查局局长郭晓林。</w:t>
      </w:r>
    </w:p>
    <w:p w:rsidR="00471162" w:rsidRDefault="00471162" w:rsidP="00471162">
      <w:pPr>
        <w:ind w:firstLine="420"/>
        <w:jc w:val="left"/>
      </w:pPr>
      <w:r>
        <w:rPr>
          <w:rFonts w:hint="eastAsia"/>
        </w:rPr>
        <w:t>打击涉税违法活动是一项长期而艰巨的任务。各级税务部门坚持服务经济社会发展大局和税收中心工作，用好稽查“利剑”，持续打击涉税违法行为并取得明显成效。</w:t>
      </w:r>
    </w:p>
    <w:p w:rsidR="00471162" w:rsidRDefault="00471162" w:rsidP="00471162">
      <w:pPr>
        <w:ind w:firstLine="420"/>
        <w:jc w:val="left"/>
      </w:pPr>
      <w:r>
        <w:rPr>
          <w:rFonts w:hint="eastAsia"/>
        </w:rPr>
        <w:t>郭晓林介绍，2018年8月以来，税务总局联合公安部、海关总署、人民银行组织开展了打击虚开骗税违法犯罪专项行动，严厉打击没有实际经营业务只为虚开发票的“假企业”和没有实际出口只为骗取退税的“假出口”，取得了明显成效。</w:t>
      </w:r>
    </w:p>
    <w:p w:rsidR="00471162" w:rsidRDefault="00471162" w:rsidP="00471162">
      <w:pPr>
        <w:ind w:firstLine="420"/>
        <w:jc w:val="left"/>
      </w:pPr>
      <w:r>
        <w:rPr>
          <w:rFonts w:hint="eastAsia"/>
        </w:rPr>
        <w:t>2020年以来，面对新冠肺炎疫情冲击，国家出台了一系列支持疫情防控和经济社会发展的税费优惠政策。为保障各项政策落地见效，防止不法分子利用税费优惠政策实施违法活动，税务总局于2020年3月组织开展专项行动，严厉打击并不具备条件只为骗取疫情防控税收优惠政策的“假申报”，为复工复产营造公平良好的税收环境。</w:t>
      </w:r>
    </w:p>
    <w:p w:rsidR="00471162" w:rsidRDefault="00471162" w:rsidP="00471162">
      <w:pPr>
        <w:ind w:firstLine="420"/>
        <w:jc w:val="left"/>
      </w:pPr>
      <w:r>
        <w:rPr>
          <w:rFonts w:hint="eastAsia"/>
        </w:rPr>
        <w:t>统计显示，截至目前，打击“三假”累计抓捕犯罪分子21532人，4312名犯罪嫌疑人主动投案自首。</w:t>
      </w:r>
    </w:p>
    <w:p w:rsidR="00471162" w:rsidRDefault="00471162" w:rsidP="00471162">
      <w:pPr>
        <w:ind w:firstLine="420"/>
        <w:jc w:val="left"/>
      </w:pPr>
      <w:r>
        <w:rPr>
          <w:rFonts w:hint="eastAsia"/>
        </w:rPr>
        <w:t>从“三假”案件查处的情况看，当前不法分子在高额经济利益驱使下，利用种种手段虚开增值税发票、骗取国家出口退税的现象依然突出。</w:t>
      </w:r>
    </w:p>
    <w:p w:rsidR="00471162" w:rsidRDefault="00471162" w:rsidP="00471162">
      <w:pPr>
        <w:ind w:firstLine="420"/>
        <w:jc w:val="left"/>
      </w:pPr>
      <w:r>
        <w:rPr>
          <w:rFonts w:hint="eastAsia"/>
        </w:rPr>
        <w:t>郭晓林表示，当前“三假”案件具有六个突出特征：“空壳企业”成为虚开发票攫取非法利益的主要载体；“粗暴虚开”成为虚开团伙大肆违法犯罪的主要方式；“走逃失联”成为不法分子逃避打击的主要方式；“买单配票”成为目前骗取出口退税的主要手段；“黄金制品”“软件产品”成为骗税分子谋取不法利益的新型道具；“虚假申报”成为骗取涉疫税收优惠政策的主要途径。</w:t>
      </w:r>
    </w:p>
    <w:p w:rsidR="00471162" w:rsidRDefault="00471162" w:rsidP="00471162">
      <w:pPr>
        <w:ind w:firstLine="420"/>
        <w:jc w:val="left"/>
      </w:pPr>
      <w:r>
        <w:rPr>
          <w:rFonts w:hint="eastAsia"/>
        </w:rPr>
        <w:t>在重拳打击涉税违法的同时，按照依法依规、保护权益、审慎适度的要求，税务部门建立税收违法“黑名单”制度，定期向社会公布重大税收违法失信案件的当事人信息。</w:t>
      </w:r>
    </w:p>
    <w:p w:rsidR="00F57742" w:rsidRPr="00471162" w:rsidRDefault="00471162" w:rsidP="00471162">
      <w:pPr>
        <w:ind w:firstLine="420"/>
        <w:jc w:val="right"/>
      </w:pPr>
      <w:r>
        <w:rPr>
          <w:rFonts w:hint="eastAsia"/>
        </w:rPr>
        <w:t>经济日报2021-01-20</w:t>
      </w:r>
    </w:p>
    <w:sectPr w:rsidR="00F57742" w:rsidRPr="004711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7742" w:rsidRDefault="00F57742" w:rsidP="00EC05DE">
      <w:r>
        <w:separator/>
      </w:r>
    </w:p>
  </w:endnote>
  <w:endnote w:type="continuationSeparator" w:id="1">
    <w:p w:rsidR="00F57742" w:rsidRDefault="00F57742" w:rsidP="00EC05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7742" w:rsidRDefault="00F57742" w:rsidP="00EC05DE">
      <w:r>
        <w:separator/>
      </w:r>
    </w:p>
  </w:footnote>
  <w:footnote w:type="continuationSeparator" w:id="1">
    <w:p w:rsidR="00F57742" w:rsidRDefault="00F57742" w:rsidP="00EC05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C05DE"/>
    <w:rsid w:val="002020C9"/>
    <w:rsid w:val="0028762B"/>
    <w:rsid w:val="002914AE"/>
    <w:rsid w:val="00336790"/>
    <w:rsid w:val="003A7150"/>
    <w:rsid w:val="003B1E29"/>
    <w:rsid w:val="00471162"/>
    <w:rsid w:val="004F04D2"/>
    <w:rsid w:val="0055230A"/>
    <w:rsid w:val="005E73DC"/>
    <w:rsid w:val="006223C0"/>
    <w:rsid w:val="006F5B77"/>
    <w:rsid w:val="00A64D28"/>
    <w:rsid w:val="00A8491B"/>
    <w:rsid w:val="00B02C3A"/>
    <w:rsid w:val="00BF3FCE"/>
    <w:rsid w:val="00D95A1B"/>
    <w:rsid w:val="00EC05DE"/>
    <w:rsid w:val="00F57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5DE"/>
    <w:pPr>
      <w:widowControl w:val="0"/>
      <w:jc w:val="both"/>
    </w:pPr>
    <w:rPr>
      <w:rFonts w:ascii="宋体" w:eastAsia="宋体" w:hAnsi="宋体" w:cs="Times New Roman"/>
      <w:b/>
      <w:bCs/>
      <w:kern w:val="36"/>
      <w:szCs w:val="52"/>
    </w:rPr>
  </w:style>
  <w:style w:type="paragraph" w:styleId="1">
    <w:name w:val="heading 1"/>
    <w:basedOn w:val="a"/>
    <w:next w:val="a"/>
    <w:link w:val="1Char"/>
    <w:qFormat/>
    <w:rsid w:val="00EC05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/>
      <w:bCs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C05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C05D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C05D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C05DE"/>
    <w:rPr>
      <w:sz w:val="18"/>
      <w:szCs w:val="18"/>
    </w:rPr>
  </w:style>
  <w:style w:type="character" w:customStyle="1" w:styleId="1Char">
    <w:name w:val="标题 1 Char"/>
    <w:basedOn w:val="a0"/>
    <w:link w:val="1"/>
    <w:qFormat/>
    <w:rsid w:val="00EC05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>微软中国</Company>
  <LinksUpToDate>false</LinksUpToDate>
  <CharactersWithSpaces>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2022-04-29T05:57:00Z</dcterms:created>
  <dcterms:modified xsi:type="dcterms:W3CDTF">2022-04-29T05:57:00Z</dcterms:modified>
</cp:coreProperties>
</file>