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75" w:rsidRDefault="00EE1A75">
      <w:pPr>
        <w:pStyle w:val="1"/>
      </w:pPr>
      <w:bookmarkStart w:id="0" w:name="_Toc6251"/>
      <w:r>
        <w:rPr>
          <w:rFonts w:hint="eastAsia"/>
        </w:rPr>
        <w:t>洛川县人民检察院多项举措抓检察建议工作，提升检察监督质效</w:t>
      </w:r>
      <w:bookmarkEnd w:id="0"/>
    </w:p>
    <w:p w:rsidR="00EE1A75" w:rsidRDefault="00EE1A75">
      <w:pPr>
        <w:ind w:firstLine="420"/>
      </w:pPr>
      <w:r>
        <w:rPr>
          <w:rFonts w:hint="eastAsia"/>
        </w:rPr>
        <w:t>为进一步贯彻落实省、市加强检察建议办理促进社会治理工作推进会会议精神，规范检察建议工作，提升检察建议质效，洛川县检察院多措并举，确保文件、会议精神落到实处。</w:t>
      </w:r>
    </w:p>
    <w:p w:rsidR="00EE1A75" w:rsidRDefault="00EE1A75">
      <w:pPr>
        <w:ind w:firstLine="420"/>
      </w:pPr>
      <w:r>
        <w:rPr>
          <w:rFonts w:hint="eastAsia"/>
        </w:rPr>
        <w:t>抓学习，促思想、能力双提升。洛川县检察院通过组织干警学习《人民检察院检察建议工作规定》《陕西省人民检察院关于进一步加强检察建议办理工作促进社会治理法治化的意见》等文件，要求全院干警充分认识检察建议工作的重要性，认识到检察建议是检察机关依法履行法律监督职能的重要方式、参与社会治理的重要手段。要求办案人及时转变工作理念，调整工作思路，提升制发检察建议的业务能力和水平，注重建议质量和监督精准性，主动加强与被建议单位协调沟通，切实在工作中践行双赢多赢共赢监督理念。</w:t>
      </w:r>
    </w:p>
    <w:p w:rsidR="00EE1A75" w:rsidRDefault="00EE1A75">
      <w:pPr>
        <w:ind w:firstLine="420"/>
      </w:pPr>
      <w:r>
        <w:rPr>
          <w:rFonts w:hint="eastAsia"/>
        </w:rPr>
        <w:t>抓管理，促办案程序规范。洛川县检察院严格执行检察建议审批制度，要求各业务部门按照最高检关于检察建议书的制作要求及程序制发检察建议。法律政策研究部门充分发挥监督管理作用，全面加强对社会治理类检察建议的审核工作，不断完善登记备案和统计制度，及时全面掌握全院工作情况，加强检察建议落实工作分析督导。</w:t>
      </w:r>
    </w:p>
    <w:p w:rsidR="00EE1A75" w:rsidRDefault="00EE1A75">
      <w:pPr>
        <w:ind w:firstLine="420"/>
      </w:pPr>
      <w:r>
        <w:rPr>
          <w:rFonts w:hint="eastAsia"/>
        </w:rPr>
        <w:t>抓融合，促质量提高。洛川县检察院要求办理检察建议案件时要找准、找深、找实存在的问题，提出有理有据、务实可行的建议，不断提高检察建议的针对性和可操作性；要改进工作方法，跳出案卷材料的局限，善于由点到面、由表及里、由个案到类案，提升检察建议的行业普遍适用性和指导性；同时要求加强对最高检下发的典型案例学习应用，坚持问题导向，认真开展检察建议制发前的调查核实工作，确保制发的检察建议内容清晰、格式规范、用语准确、合法合理。依托统一业务应用系统，强化对检察建议的流程监控和质量评查，及时发现存在的问题，进行整改。加大公开宣告送达力度，邀请人民监督员参与送达活动，倒逼办案检察官苦练业务“内功”，提升检察建议的制作水平。</w:t>
      </w:r>
    </w:p>
    <w:p w:rsidR="00EE1A75" w:rsidRDefault="00EE1A75">
      <w:pPr>
        <w:ind w:firstLine="420"/>
      </w:pPr>
      <w:r>
        <w:rPr>
          <w:rFonts w:hint="eastAsia"/>
        </w:rPr>
        <w:t>抓跟踪，促落实效果。洛川县检察院要求以支持配合督促被建议单位落实检察建议作为工作重心，检察建议发出后，持续跟踪被建议单位落实检察建议的情况，对没有及时回复的督促被建议单位及时回复，对被建议单位已作出整改的，继续跟踪了解制度措施的执行落实情况，推动检察建议取得实际效果。</w:t>
      </w:r>
    </w:p>
    <w:p w:rsidR="00EE1A75" w:rsidRDefault="00EE1A75">
      <w:pPr>
        <w:ind w:firstLine="420"/>
        <w:jc w:val="right"/>
      </w:pPr>
      <w:r>
        <w:rPr>
          <w:rFonts w:hint="eastAsia"/>
        </w:rPr>
        <w:t>西部法制报</w:t>
      </w:r>
      <w:r>
        <w:rPr>
          <w:rFonts w:hint="eastAsia"/>
        </w:rPr>
        <w:t>-</w:t>
      </w:r>
      <w:r>
        <w:rPr>
          <w:rFonts w:hint="eastAsia"/>
        </w:rPr>
        <w:t>西部法制传媒网</w:t>
      </w:r>
      <w:r>
        <w:rPr>
          <w:rFonts w:hint="eastAsia"/>
        </w:rPr>
        <w:t>2022-07-05</w:t>
      </w:r>
    </w:p>
    <w:p w:rsidR="00EE1A75" w:rsidRDefault="00EE1A75" w:rsidP="000A34C9">
      <w:pPr>
        <w:sectPr w:rsidR="00EE1A75" w:rsidSect="00C344DD">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E54418" w:rsidRDefault="00E54418"/>
    <w:sectPr w:rsidR="00E544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DD" w:rsidRDefault="00E54418">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6</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DD" w:rsidRDefault="00E54418">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DD" w:rsidRDefault="00E54418">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DD" w:rsidRDefault="00E54418">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E1A75"/>
    <w:rsid w:val="00E54418"/>
    <w:rsid w:val="00EE1A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E1A7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E1A75"/>
    <w:rPr>
      <w:rFonts w:ascii="黑体" w:eastAsia="黑体" w:hAnsi="宋体" w:cs="Times New Roman"/>
      <w:b/>
      <w:kern w:val="36"/>
      <w:sz w:val="32"/>
      <w:szCs w:val="32"/>
    </w:rPr>
  </w:style>
  <w:style w:type="paragraph" w:styleId="a3">
    <w:name w:val="footer"/>
    <w:basedOn w:val="a"/>
    <w:link w:val="Char"/>
    <w:qFormat/>
    <w:rsid w:val="00EE1A75"/>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EE1A75"/>
    <w:rPr>
      <w:rFonts w:ascii="宋体" w:eastAsia="宋体" w:hAnsi="宋体" w:cs="Times New Roman"/>
      <w:b/>
      <w:bCs/>
      <w:i/>
      <w:kern w:val="36"/>
      <w:sz w:val="24"/>
      <w:szCs w:val="18"/>
    </w:rPr>
  </w:style>
  <w:style w:type="paragraph" w:styleId="a4">
    <w:name w:val="header"/>
    <w:basedOn w:val="a"/>
    <w:link w:val="Char0"/>
    <w:qFormat/>
    <w:rsid w:val="00EE1A75"/>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EE1A75"/>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2022-08-19T07:59:00Z</dcterms:created>
</cp:coreProperties>
</file>