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0510" w:rsidRDefault="00BE0510">
      <w:pPr>
        <w:pStyle w:val="1"/>
      </w:pPr>
      <w:r>
        <w:rPr>
          <w:rFonts w:hint="eastAsia"/>
        </w:rPr>
        <w:t>广元税务奏响“五部曲”谱写营商环境“岁末年初卷”</w:t>
      </w:r>
    </w:p>
    <w:p w:rsidR="00BE0510" w:rsidRDefault="00BE0510">
      <w:pPr>
        <w:ind w:firstLine="420"/>
        <w:jc w:val="left"/>
      </w:pPr>
      <w:r>
        <w:rPr>
          <w:rFonts w:hint="eastAsia"/>
        </w:rPr>
        <w:t>围绕“打造川内最优营商环境”目标，广元税务谋划在前、紧密部署，构建多方协同机制，统筹整合人力资源，奏响五部曲，答好营商环境“纳税”指标测评“期末卷”，谋好新年开局“提升卷”。</w:t>
      </w:r>
    </w:p>
    <w:p w:rsidR="00BE0510" w:rsidRDefault="00BE0510">
      <w:pPr>
        <w:ind w:firstLine="420"/>
        <w:jc w:val="left"/>
      </w:pPr>
      <w:r>
        <w:rPr>
          <w:rFonts w:hint="eastAsia"/>
        </w:rPr>
        <w:t>一是提高思想认识，奏响动员部署“前奏曲”。自年度营商环境测评工作启动以来，市税务局高度重视，谋划在前。市局优化税收营商环境领导小组及时召开“纳税”指标研讨会，传达优化营商环境联席会议精神，对市、区县两级主责部门关于“纳税”指标迎评准备工作作出总体部署。全市系统牢牢树立“两个重要性”的思想认识，一是充分认识市场主体感受之于营商环境的重要性，二是充分认识营商环境之于地方经济发展的重要性，从思想上树立优化营商环境事关全局、荣焉与共的意识。</w:t>
      </w:r>
    </w:p>
    <w:p w:rsidR="00BE0510" w:rsidRDefault="00BE0510">
      <w:pPr>
        <w:ind w:firstLine="420"/>
        <w:jc w:val="left"/>
      </w:pPr>
      <w:r>
        <w:rPr>
          <w:rFonts w:hint="eastAsia"/>
        </w:rPr>
        <w:t>二是召开联席会议，奏响部门协同“交响曲”。作为牵头单位，市税务局多次召开营商环境“纳税”指标联席会议，与市财政局、市人力资源和社会保障局、市医疗保障局、市住房公积金中心、人民银行广元支行等二级指标单位协同共治。逐项解读“纳税”指标评价逻辑体系，集体会商，明确迎评主体责任，为后续资料收集、材料准备、集中填报等工作进一步畅通交流渠道。凝心聚力、协同推进，确保共同圆满完成指标填报工作。</w:t>
      </w:r>
    </w:p>
    <w:p w:rsidR="00BE0510" w:rsidRDefault="00BE0510">
      <w:pPr>
        <w:ind w:firstLine="420"/>
        <w:jc w:val="left"/>
      </w:pPr>
      <w:r>
        <w:rPr>
          <w:rFonts w:hint="eastAsia"/>
        </w:rPr>
        <w:t>三是组建工作专班，奏响分工合作“协奏曲”。抽调市、区县两级业务骨干，成立迎评工作专班。制定“纳税”指标责任分工表，明确责任部门、责任人及具体任务，逐一确定各指标在优化税收营商环境领导小组办公室的具体对接人员，确保每个指标在材料准备、内容优化、线上填报等方面有条不紊，一线贯之。专班集中工作期间，充分研讨评价操作指南，深刻认识指标设置内涵，准确把握填报答题要求，全面收集相关佐证材料，认真总结各类创新亮点，扎实应对线上填报期末大考，客观反映广元税务工作成效。</w:t>
      </w:r>
    </w:p>
    <w:p w:rsidR="00BE0510" w:rsidRDefault="00BE0510">
      <w:pPr>
        <w:ind w:firstLine="420"/>
        <w:jc w:val="left"/>
      </w:pPr>
      <w:r>
        <w:rPr>
          <w:rFonts w:hint="eastAsia"/>
        </w:rPr>
        <w:t>四是聚焦急难愁盼，奏响惠企利民“圆舞曲”。对标本次评价指标，进一步优化办税服务厅窗口设置和人力资源保障，持续巩固提升办税服务厅标准化、规范化管理质效，确保税费业务办理提质增效与响应疫情防控大局齐头并进。结合“我为纳税人缴费人办实事暨便民办税春风行动”进一步开展市场主体走访工作，确保“走到深处”“走到实处”，通过走访问需，快速响应诉求，实时解决问题，精细分类服务，力求市场主体“非常满意”。</w:t>
      </w:r>
    </w:p>
    <w:p w:rsidR="00BE0510" w:rsidRDefault="00BE0510">
      <w:pPr>
        <w:ind w:firstLine="420"/>
        <w:jc w:val="left"/>
      </w:pPr>
      <w:r>
        <w:rPr>
          <w:rFonts w:hint="eastAsia"/>
        </w:rPr>
        <w:t>五是以评价促提升，奏响虎年开局“谋新曲”。下一步，市税务局将持续围绕优化税收营商环境，整理汇编先进典型案例，总结提炼成熟经验做法，宣传推广本地特色亮点。结合评价发现的短板不足，及时制定针对性整改举措。对标最优，切实改进各项工作，积极推动税收营商环境持续优化，努力实现以评价促提升，奏响虎年开局“谋新曲”，吹响</w:t>
      </w:r>
      <w:r>
        <w:rPr>
          <w:rFonts w:hint="eastAsia"/>
        </w:rPr>
        <w:t>2022</w:t>
      </w:r>
      <w:r>
        <w:rPr>
          <w:rFonts w:hint="eastAsia"/>
        </w:rPr>
        <w:t>年纳税人满意度全面提升“攻坚号”。</w:t>
      </w:r>
    </w:p>
    <w:p w:rsidR="00BE0510" w:rsidRDefault="00BE0510">
      <w:pPr>
        <w:ind w:firstLine="420"/>
        <w:jc w:val="right"/>
      </w:pPr>
      <w:r>
        <w:rPr>
          <w:rFonts w:hint="eastAsia"/>
        </w:rPr>
        <w:t>国家税务总局广元市税务局</w:t>
      </w:r>
      <w:r>
        <w:rPr>
          <w:rFonts w:hint="eastAsia"/>
        </w:rPr>
        <w:t>2022-02-24</w:t>
      </w:r>
    </w:p>
    <w:p w:rsidR="00BE0510" w:rsidRDefault="00BE0510" w:rsidP="00860F15">
      <w:pPr>
        <w:sectPr w:rsidR="00BE0510" w:rsidSect="00860F15">
          <w:type w:val="continuous"/>
          <w:pgSz w:w="11906" w:h="16838"/>
          <w:pgMar w:top="1644" w:right="1236" w:bottom="1418" w:left="1814" w:header="851" w:footer="907" w:gutter="0"/>
          <w:pgNumType w:start="1"/>
          <w:cols w:space="720"/>
          <w:docGrid w:type="lines" w:linePitch="341" w:charSpace="2373"/>
        </w:sectPr>
      </w:pPr>
    </w:p>
    <w:p w:rsidR="00184EF9" w:rsidRDefault="00184EF9"/>
    <w:sectPr w:rsidR="00184E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0510"/>
    <w:rsid w:val="00184EF9"/>
    <w:rsid w:val="00BE05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05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E05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171</Words>
  <Characters>979</Characters>
  <Application>Microsoft Office Word</Application>
  <DocSecurity>0</DocSecurity>
  <Lines>8</Lines>
  <Paragraphs>2</Paragraphs>
  <ScaleCrop>false</ScaleCrop>
  <Company>微软中国</Company>
  <LinksUpToDate>false</LinksUpToDate>
  <CharactersWithSpaces>1148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2022-08-17T07:17:00Z</dcterms:created>
</cp:coreProperties>
</file>