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3BD" w:rsidRDefault="005433BD">
      <w:pPr>
        <w:pStyle w:val="1"/>
      </w:pPr>
      <w:r>
        <w:rPr>
          <w:rFonts w:hint="eastAsia"/>
        </w:rPr>
        <w:t>广元税务“三步走”确保增值税留抵退税政策红利精准落袋</w:t>
      </w:r>
    </w:p>
    <w:p w:rsidR="005433BD" w:rsidRDefault="005433BD">
      <w:pPr>
        <w:ind w:firstLine="420"/>
      </w:pPr>
      <w:r>
        <w:rPr>
          <w:rFonts w:hint="eastAsia"/>
        </w:rPr>
        <w:t>自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日大规模增值税留抵退税政策施行以来，广元市税务局分“三步走”稳步推进各项工作，确保留抵退税政策红利精准落袋。</w:t>
      </w:r>
    </w:p>
    <w:p w:rsidR="005433BD" w:rsidRDefault="005433BD">
      <w:pPr>
        <w:ind w:firstLine="420"/>
      </w:pPr>
      <w:r>
        <w:rPr>
          <w:rFonts w:hint="eastAsia"/>
        </w:rPr>
        <w:t>专班运转，搭好架子。对内市局党委专题研究部署，组建市、县增值税留抵退税专项工作组</w:t>
      </w:r>
      <w:r>
        <w:rPr>
          <w:rFonts w:hint="eastAsia"/>
        </w:rPr>
        <w:t>9</w:t>
      </w:r>
      <w:r>
        <w:rPr>
          <w:rFonts w:hint="eastAsia"/>
        </w:rPr>
        <w:t>个，下发《关于进一步做好增值税期末留抵退税工作的通知》，进一步完善机制，形成合力</w:t>
      </w:r>
      <w:r>
        <w:rPr>
          <w:rFonts w:hint="eastAsia"/>
        </w:rPr>
        <w:t>,</w:t>
      </w:r>
      <w:r>
        <w:rPr>
          <w:rFonts w:hint="eastAsia"/>
        </w:rPr>
        <w:t>确保任务分配到人、工作细化到条、时间精确到天</w:t>
      </w:r>
      <w:r>
        <w:rPr>
          <w:rFonts w:hint="eastAsia"/>
        </w:rPr>
        <w:t>,</w:t>
      </w:r>
      <w:r>
        <w:rPr>
          <w:rFonts w:hint="eastAsia"/>
        </w:rPr>
        <w:t>以制度推动工作责任落实。梳理企业划型、标识校验、宣传辅导等重点事项，把握分析测算、风险防范、退税办理等关键环节。组织召开专题会议</w:t>
      </w:r>
      <w:r>
        <w:rPr>
          <w:rFonts w:hint="eastAsia"/>
        </w:rPr>
        <w:t xml:space="preserve"> 3</w:t>
      </w:r>
      <w:r>
        <w:rPr>
          <w:rFonts w:hint="eastAsia"/>
        </w:rPr>
        <w:t>次，构建“市县联动、部门协同”工作机制，依托部门间信息互通、问题互研、分析共享，推进政策落地落实。对外会同财政局、人民银行等有关部门，加强协调配合和信息共享，搭建退税工作常态化沟通平台，明确任务清单和责任清单，形成内外合力，确保退税资金快速直达纳税人。</w:t>
      </w:r>
    </w:p>
    <w:p w:rsidR="005433BD" w:rsidRDefault="005433BD">
      <w:pPr>
        <w:ind w:firstLine="420"/>
      </w:pPr>
      <w:r>
        <w:rPr>
          <w:rFonts w:hint="eastAsia"/>
        </w:rPr>
        <w:t>快速响应，摸清底子。步步为营有规划。制定留抵退税“时间表”、“任务图”，把握好</w:t>
      </w:r>
      <w:r>
        <w:rPr>
          <w:rFonts w:hint="eastAsia"/>
        </w:rPr>
        <w:t>4</w:t>
      </w:r>
      <w:r>
        <w:rPr>
          <w:rFonts w:hint="eastAsia"/>
        </w:rPr>
        <w:t>月、</w:t>
      </w:r>
      <w:r>
        <w:rPr>
          <w:rFonts w:hint="eastAsia"/>
        </w:rPr>
        <w:t>5</w:t>
      </w:r>
      <w:r>
        <w:rPr>
          <w:rFonts w:hint="eastAsia"/>
        </w:rPr>
        <w:t>月、</w:t>
      </w:r>
      <w:r>
        <w:rPr>
          <w:rFonts w:hint="eastAsia"/>
        </w:rPr>
        <w:t>7</w:t>
      </w:r>
      <w:r>
        <w:rPr>
          <w:rFonts w:hint="eastAsia"/>
        </w:rPr>
        <w:t>月等关键时间节点，统筹好“大中小微”划型企业退税任务，服务好“六大行业”重点行业退税工作。数据画像锁目标。利用税收大数据，收集和分析纳税人的企业划型、留抵税额、纳税信用等级等数据后，进行分级分类标识，勾勒出</w:t>
      </w:r>
      <w:r>
        <w:rPr>
          <w:rFonts w:hint="eastAsia"/>
        </w:rPr>
        <w:t>1400</w:t>
      </w:r>
      <w:r>
        <w:rPr>
          <w:rFonts w:hint="eastAsia"/>
        </w:rPr>
        <w:t>余户纳税人留抵退税的立体画像，精准锁定纳税人，建立留抵退税应享名单清册台账。精确测算心有底。初步筛选后，分批分类进行逐户核对，就大中小微企业划型、六大行业归类进行二次校验，提高数据准确性，通过</w:t>
      </w:r>
      <w:r>
        <w:rPr>
          <w:rFonts w:hint="eastAsia"/>
        </w:rPr>
        <w:t>3</w:t>
      </w:r>
      <w:r>
        <w:rPr>
          <w:rFonts w:hint="eastAsia"/>
        </w:rPr>
        <w:t>轮留抵退税规模测算，充分掌握全市留抵税额规模。与企业充分沟通，了解其退税意愿、拟退税时间及相关需求，结合企业实际情况对退税节点安排进行细化。</w:t>
      </w:r>
    </w:p>
    <w:p w:rsidR="005433BD" w:rsidRDefault="005433BD">
      <w:pPr>
        <w:ind w:firstLine="420"/>
      </w:pPr>
      <w:r>
        <w:rPr>
          <w:rFonts w:hint="eastAsia"/>
        </w:rPr>
        <w:t>增质保效，瞄准靶子。优化流程有效率。采取预约退税、绿色通道、错峰办理、延时服务等措施，打通办税环节。持续落实“放管服”改革要求，不断优化营商环境，压减退税资料、精简办理流程、提高流转效率，实现退库当天办理当天到账。多点宣传有效果。根据纳税人关注热点、难点，充分利用微信公众号、税企联络群等渠道，通过“开讲啦”直播课堂开展专题政策讲解，确保纳税人知晓政策规定和办理流程。制印《</w:t>
      </w:r>
      <w:r>
        <w:rPr>
          <w:rFonts w:hint="eastAsia"/>
        </w:rPr>
        <w:t>2022</w:t>
      </w:r>
      <w:r>
        <w:rPr>
          <w:rFonts w:hint="eastAsia"/>
        </w:rPr>
        <w:t>年组合式税费支持政策摘编》并通过征纳互动平台精准推送</w:t>
      </w:r>
      <w:r>
        <w:rPr>
          <w:rFonts w:hint="eastAsia"/>
        </w:rPr>
        <w:t>18</w:t>
      </w:r>
      <w:r>
        <w:rPr>
          <w:rFonts w:hint="eastAsia"/>
        </w:rPr>
        <w:t>批次、</w:t>
      </w:r>
      <w:r>
        <w:rPr>
          <w:rFonts w:hint="eastAsia"/>
        </w:rPr>
        <w:t>8</w:t>
      </w:r>
      <w:r>
        <w:rPr>
          <w:rFonts w:hint="eastAsia"/>
        </w:rPr>
        <w:t>万余户次，不断扩大政策知晓面。建立台账强监管。逐户摸排纳税人的生产经营情况，建立服务台账，对留抵退税情况进行动态监控，针对性开展“一对一”政策宣传和辅导，对拟提起退税申请的纳税人开展“保姆式”服务，安排工作团队从申请提交到退税审核进行全流程跟踪辅导和监管，确保应退快退。防范风险促稳定。对办理的增值税留抵退税工作整体情况进行分析，从优化服务、强化审核、防范风险、加强监管等环节查找存在的问题，及时改进。开展留抵退税政策统计调研，加强事后监控和跟踪分析，确保政策执行无偏差。</w:t>
      </w:r>
    </w:p>
    <w:p w:rsidR="005433BD" w:rsidRDefault="005433BD">
      <w:pPr>
        <w:ind w:firstLine="420"/>
        <w:jc w:val="right"/>
      </w:pPr>
      <w:r>
        <w:rPr>
          <w:rFonts w:hint="eastAsia"/>
        </w:rPr>
        <w:t>国家税务总局广元市税务局</w:t>
      </w:r>
      <w:r>
        <w:rPr>
          <w:rFonts w:hint="eastAsia"/>
        </w:rPr>
        <w:t>2022-04-28</w:t>
      </w:r>
    </w:p>
    <w:p w:rsidR="005433BD" w:rsidRDefault="005433BD" w:rsidP="00860F15">
      <w:pPr>
        <w:sectPr w:rsidR="005433BD" w:rsidSect="00860F1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19A7" w:rsidRDefault="009919A7"/>
    <w:sectPr w:rsidR="009919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33BD"/>
    <w:rsid w:val="005433BD"/>
    <w:rsid w:val="009919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33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33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1013</Characters>
  <Application>Microsoft Office Word</Application>
  <DocSecurity>0</DocSecurity>
  <Lines>8</Lines>
  <Paragraphs>2</Paragraphs>
  <ScaleCrop>false</ScaleCrop>
  <Company>微软中国</Company>
  <LinksUpToDate>false</LinksUpToDate>
  <CharactersWithSpaces>1188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2022-08-17T07:17:00Z</dcterms:created>
</cp:coreProperties>
</file>