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017" w:rsidRDefault="00114017">
      <w:pPr>
        <w:pStyle w:val="1"/>
      </w:pPr>
      <w:bookmarkStart w:id="0" w:name="_Toc22779"/>
      <w:r>
        <w:rPr>
          <w:rFonts w:hint="eastAsia"/>
        </w:rPr>
        <w:t>蠡县财政局 2022年下半年工作谋划</w:t>
      </w:r>
      <w:bookmarkEnd w:id="0"/>
    </w:p>
    <w:p w:rsidR="00114017" w:rsidRDefault="00114017">
      <w:pPr>
        <w:ind w:firstLine="420"/>
        <w:jc w:val="left"/>
      </w:pPr>
      <w:r>
        <w:rPr>
          <w:rFonts w:hint="eastAsia"/>
        </w:rPr>
        <w:t>下半年，县财政局将围绕县委、县政府“六个奋进年”决策部署，攻坚克难，积极发挥财政职能，全力推动“雄南产业新城，品质宜居蠡县”建设，为“激情奋进‘十四五’，再造一个新保定”贡献力量。</w:t>
      </w:r>
    </w:p>
    <w:p w:rsidR="00114017" w:rsidRDefault="00114017">
      <w:pPr>
        <w:ind w:firstLine="420"/>
        <w:jc w:val="left"/>
      </w:pPr>
      <w:r>
        <w:rPr>
          <w:rFonts w:hint="eastAsia"/>
        </w:rPr>
        <w:t>（一）挖潜培源，增强财政可持续性</w:t>
      </w:r>
    </w:p>
    <w:p w:rsidR="00114017" w:rsidRDefault="00114017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全力抓好税收收入。围绕下半年任务目标，坚持依法治税，挖潜培源，加强税源管控，加大征管力度。一是实行综合治税。充分发挥大数据作用，实现涉税部门间信息共享，强化涉税信息综合比对，提高涉税信息透明度。二是开展重点行业清理。针对重点行业、重点企业，加强日常监测，定期进行预警分析，特别是对纳税异常企业，要进行重点剖析，强化清缴补欠手段，严厉打击各种偷税漏税行为。三是加强对新兴行业的税收管理。分行业建立纳税模型，及时掌握新兴行业的发展动态，规范新兴行业的税收秩序，做到大税小税一齐抓。四是促进在建项目达产见效。明确责任，加强与主管部门之间的协调，加快项目实施进度。加强与自规部门协调联动，加大耕地占用税征收入库。</w:t>
      </w:r>
    </w:p>
    <w:p w:rsidR="00114017" w:rsidRDefault="00114017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合理组织非税收入。加大非税收入征管力度，充分挖掘非税收入潜力，优化财政收入结构，提高税收收入占比。一是强化依法征收。将年度非税收入计划细化，各执收执罚部门严格执行“单位开票、银行收款、财政统管”的管理制度，建立收入台账，实时掌控收入进度，所有非税收入及时足额上缴国库；二是实行重点突破。加强与国土部门协调配合，及时督促土地出让进度，搞好土地出让金征收。加强与教育部门协调配合，科学安排教育收费入库计划；三是对行政事业单位的房产出租及闲置资产情况摸清底码，规范流程，盘活国有资产。四是开展财政资金大检查，对各单位的沉淀资金，及时收回、盘活，统筹用于全县重点工作。</w:t>
      </w:r>
    </w:p>
    <w:p w:rsidR="00114017" w:rsidRDefault="00114017">
      <w:pPr>
        <w:ind w:firstLine="420"/>
        <w:jc w:val="left"/>
      </w:pPr>
      <w:r>
        <w:rPr>
          <w:rFonts w:hint="eastAsia"/>
        </w:rPr>
        <w:t>（二）开源节流，提高财政支出效益</w:t>
      </w:r>
    </w:p>
    <w:p w:rsidR="00114017" w:rsidRDefault="00114017">
      <w:pPr>
        <w:ind w:firstLine="420"/>
        <w:jc w:val="left"/>
      </w:pPr>
      <w:r>
        <w:rPr>
          <w:rFonts w:hint="eastAsia"/>
        </w:rPr>
        <w:t>一是突出保障重点。坚持有保有压、有促有控，优先保障“三保”、化债、重大项目等支出，把过紧日子要求落到实处，确保财政收支平衡；二是强化收支管理。实行预算绩效管理制度，预算和绩效管理一体化，提高财政资金使用效益，着力集中财力办大事，将财政资金用到刀刃上，稳步提高基本民生保障水平，确保各项政策措施落地见效；三是加强库款运行管理。强化库款运行的动态监测和统计上报工作，精准测算库款需求，优先保障“三保”支出需求，保持合理库款规模，防范财政支付风险；四是积极争取债券资金和转移支付支持，拟申报专项债券项目</w:t>
      </w:r>
      <w:r>
        <w:rPr>
          <w:rFonts w:hint="eastAsia"/>
        </w:rPr>
        <w:t>8</w:t>
      </w:r>
      <w:r>
        <w:rPr>
          <w:rFonts w:hint="eastAsia"/>
        </w:rPr>
        <w:t>个，资金</w:t>
      </w:r>
      <w:r>
        <w:rPr>
          <w:rFonts w:hint="eastAsia"/>
        </w:rPr>
        <w:t>38100</w:t>
      </w:r>
      <w:r>
        <w:rPr>
          <w:rFonts w:hint="eastAsia"/>
        </w:rPr>
        <w:t>万元，保障项目支出资金需求。积极向上争取更多的专项扶持资金，缓解财政资金压力，降低债务风险。</w:t>
      </w:r>
    </w:p>
    <w:p w:rsidR="00114017" w:rsidRDefault="00114017">
      <w:pPr>
        <w:ind w:firstLine="420"/>
        <w:jc w:val="left"/>
      </w:pPr>
      <w:r>
        <w:rPr>
          <w:rFonts w:hint="eastAsia"/>
        </w:rPr>
        <w:t>（三）严格管控，确保财政平稳运行</w:t>
      </w:r>
    </w:p>
    <w:p w:rsidR="00114017" w:rsidRDefault="00114017">
      <w:pPr>
        <w:ind w:firstLine="420"/>
        <w:jc w:val="left"/>
      </w:pPr>
      <w:r>
        <w:rPr>
          <w:rFonts w:hint="eastAsia"/>
        </w:rPr>
        <w:t>一是坚持把防范化解政府债务风险作为财政管理工作的重中之中，严格执行隐性债务化解计划，依法依规采取统筹预算资金偿还、盘活存量国有资产资源等措施化解存量隐性债务，坚决守住不发生系统性区域性风险的底线；二是加强债务风险动态监测，规范政府融资举债行为，严防新增违法违规举债，严守政策红线，严防债务违约，强化债务风险管控，做好存量债务化解，缓解地方政府偿债压力，建立到期债务风险预警机制，提前跟踪偿债资金落实情况，预判到期债务兑付风险；三是加大暂付款清理消化力度，严控新增财政暂付性款项，防止暂付款过度挤占库款，影响财政正常运转。</w:t>
      </w:r>
    </w:p>
    <w:p w:rsidR="00114017" w:rsidRDefault="00114017">
      <w:pPr>
        <w:ind w:firstLine="420"/>
        <w:jc w:val="right"/>
      </w:pPr>
      <w:r>
        <w:rPr>
          <w:rFonts w:hint="eastAsia"/>
        </w:rPr>
        <w:t>蠡县财政局</w:t>
      </w:r>
      <w:r>
        <w:rPr>
          <w:rFonts w:hint="eastAsia"/>
        </w:rPr>
        <w:t>2022-07-13</w:t>
      </w:r>
    </w:p>
    <w:p w:rsidR="00114017" w:rsidRDefault="00114017" w:rsidP="007169FB">
      <w:pPr>
        <w:sectPr w:rsidR="00114017" w:rsidSect="00882F6F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0B64" w:rsidRDefault="00840B64"/>
    <w:sectPr w:rsidR="00840B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F6F" w:rsidRDefault="00840B64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F6F" w:rsidRDefault="00840B64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F6F" w:rsidRDefault="00840B64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F6F" w:rsidRDefault="00840B64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4017"/>
    <w:rsid w:val="00114017"/>
    <w:rsid w:val="00840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40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1401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11401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11401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1140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11401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1135</Characters>
  <Application>Microsoft Office Word</Application>
  <DocSecurity>0</DocSecurity>
  <Lines>9</Lines>
  <Paragraphs>2</Paragraphs>
  <ScaleCrop>false</ScaleCrop>
  <Company>微软中国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2022-08-12T03:47:00Z</dcterms:created>
</cp:coreProperties>
</file>