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66" w:rsidRDefault="00173B66">
      <w:pPr>
        <w:pStyle w:val="1"/>
      </w:pPr>
      <w:bookmarkStart w:id="0" w:name="_Toc7829"/>
      <w:r>
        <w:rPr>
          <w:rFonts w:hint="eastAsia"/>
        </w:rPr>
        <w:t>利通区法院多措并举严查干警违规经商办企业和家属违规从事经营活动问题</w:t>
      </w:r>
      <w:bookmarkEnd w:id="0"/>
    </w:p>
    <w:p w:rsidR="00173B66" w:rsidRDefault="00173B66">
      <w:pPr>
        <w:ind w:firstLine="420"/>
        <w:jc w:val="left"/>
      </w:pPr>
      <w:r>
        <w:rPr>
          <w:rFonts w:hint="eastAsia"/>
        </w:rPr>
        <w:t>自政法队伍教育整顿查纠整改环节启动以来，吴忠市利通区人民法院高度重视干警违规经商办企业和配偶、子女及其配偶违规从事经营活动问题整治工作，严格落实“自查从宽、被查从严”政策，多措并举、查防并重、治建同步，确保此类问题得到彻底根治。</w:t>
      </w:r>
    </w:p>
    <w:p w:rsidR="00173B66" w:rsidRDefault="00173B66">
      <w:pPr>
        <w:ind w:firstLine="420"/>
        <w:jc w:val="left"/>
      </w:pPr>
      <w:r>
        <w:rPr>
          <w:rFonts w:hint="eastAsia"/>
        </w:rPr>
        <w:t>提高政治站位</w:t>
      </w:r>
    </w:p>
    <w:p w:rsidR="00173B66" w:rsidRDefault="00173B66">
      <w:pPr>
        <w:ind w:firstLine="420"/>
        <w:jc w:val="left"/>
      </w:pPr>
      <w:r>
        <w:rPr>
          <w:rFonts w:hint="eastAsia"/>
        </w:rPr>
        <w:t>我院印发了《吴忠市利通区人民法院队伍教育整顿实施方案》《吴忠市利通区人民法院顽瘴痼疾专项整治方案》等文件，明确了各环节的时间节点、主要任务、责任领导、牵头部门等工作，要求强化专项整治，针对干警违规经商办企业和配偶、子女及其配偶违规从事经营活动问题要摸清家底、完善制度、强化管理、仔细摸排，要求通过个人申报、组织排查等方式进行全面核查，做到个人申报底数清、登记汇总台账清、全面核查范围清、甄别认定界线清。</w:t>
      </w:r>
    </w:p>
    <w:p w:rsidR="00173B66" w:rsidRDefault="00173B66">
      <w:pPr>
        <w:ind w:firstLine="420"/>
        <w:jc w:val="left"/>
      </w:pPr>
      <w:r>
        <w:rPr>
          <w:rFonts w:hint="eastAsia"/>
        </w:rPr>
        <w:t>全面动员教育</w:t>
      </w:r>
    </w:p>
    <w:p w:rsidR="00173B66" w:rsidRDefault="00173B66">
      <w:pPr>
        <w:ind w:firstLine="420"/>
        <w:jc w:val="left"/>
      </w:pPr>
      <w:r>
        <w:rPr>
          <w:rFonts w:hint="eastAsia"/>
        </w:rPr>
        <w:t>我院多次召开党组会议、队伍教育整顿工作领导小组会议，专题研究查纠整改环节各项工作，统一思想认识、明确目标责任，传达了党中央、区市党委和利通区委队伍教育整顿工作会议精神，就做好干警违规经商办企业和配偶、子女及其配偶违规从事经营活动问题摸排工作的重要性、目标任务，以及如何开展该项工作进行了部署动员。要求有效运用“十项措施”，使摸底排查工作做到全员覆盖，建立要素齐全的工作台账，深入分析研究相关情况，对违纪情况严厉查处，同时建立健全长效机制。</w:t>
      </w:r>
    </w:p>
    <w:p w:rsidR="00173B66" w:rsidRDefault="00173B66">
      <w:pPr>
        <w:ind w:firstLine="420"/>
        <w:jc w:val="left"/>
      </w:pPr>
      <w:r>
        <w:rPr>
          <w:rFonts w:hint="eastAsia"/>
        </w:rPr>
        <w:t>深入摸底排查</w:t>
      </w:r>
    </w:p>
    <w:p w:rsidR="00173B66" w:rsidRDefault="00173B66">
      <w:pPr>
        <w:ind w:firstLine="420"/>
        <w:jc w:val="left"/>
      </w:pPr>
      <w:r>
        <w:rPr>
          <w:rFonts w:hint="eastAsia"/>
        </w:rPr>
        <w:t>我院将干警自查与组织排查相结合，组织全院政法编、事业编干警及聘用制书记员、辅警填报《吴忠市利通区人民法院政法队伍教育整顿干警自查事项报告表》，并发函吴忠市市场监督管理局利通区分局、国家税务总局吴忠市利通区税务局等部门协助核查相关信息，确保无漏报、瞒报、错报。</w:t>
      </w:r>
    </w:p>
    <w:p w:rsidR="00173B66" w:rsidRDefault="00173B66">
      <w:pPr>
        <w:ind w:firstLine="420"/>
        <w:jc w:val="left"/>
      </w:pPr>
      <w:r>
        <w:rPr>
          <w:rFonts w:hint="eastAsia"/>
        </w:rPr>
        <w:t>我院将组织干警谈心与家属座谈双管齐下，一边由部门分管院领导与涉及家属经商办企业的干警深入谈心谈话，详细了解企业经营情况及干警个人是否存在违规违纪情况，深入了解干警思想动态；一边召开家属座谈会，院领导与家属们深入交流，希望家属能够协助干警做好自查自纠。</w:t>
      </w:r>
    </w:p>
    <w:p w:rsidR="00173B66" w:rsidRDefault="00173B66">
      <w:pPr>
        <w:ind w:firstLine="420"/>
        <w:jc w:val="left"/>
      </w:pPr>
      <w:r>
        <w:rPr>
          <w:rFonts w:hint="eastAsia"/>
        </w:rPr>
        <w:t>仔细研究判别</w:t>
      </w:r>
    </w:p>
    <w:p w:rsidR="00173B66" w:rsidRDefault="00173B66">
      <w:pPr>
        <w:ind w:firstLine="420"/>
        <w:jc w:val="left"/>
      </w:pPr>
      <w:r>
        <w:rPr>
          <w:rFonts w:hint="eastAsia"/>
        </w:rPr>
        <w:t>我院党组召开专题会议讨论所有涉及本院干警的经商办企业信息，审议认定是否有违规违纪情况，并将核查情况及处理结果及时报送区纪委和区教整办。按照全国政法队伍教育整顿领导小组办公室编制的《全国第一批政法队伍教育整顿工作指引》，对排查出的企业信息进行仔细研判，重点对涉诉、涉访、征信等问题进行核查，确保查纠整改方向不偏、蹄疾步稳、走深走实。</w:t>
      </w:r>
    </w:p>
    <w:p w:rsidR="00173B66" w:rsidRDefault="00173B66">
      <w:pPr>
        <w:ind w:firstLine="420"/>
        <w:jc w:val="left"/>
      </w:pPr>
      <w:r>
        <w:rPr>
          <w:rFonts w:hint="eastAsia"/>
        </w:rPr>
        <w:t>下一步工作中，我院将继续以队伍教育整顿为契机，坚持刀刃向内、勇于自我革命，着力整治顽瘴痼疾，切实整治影响法院干警公正执行公务、廉洁行使职权的突出问题，建立健全防范机制和问责机制，不断推动全面从严治党、全面从严治院向纵深发展，营造风清气正的政治生态环境，确保队伍教育整顿落到实处、取得实效。</w:t>
      </w:r>
    </w:p>
    <w:p w:rsidR="00173B66" w:rsidRDefault="00173B66">
      <w:pPr>
        <w:ind w:firstLine="420"/>
        <w:jc w:val="right"/>
      </w:pPr>
      <w:r>
        <w:rPr>
          <w:rFonts w:hint="eastAsia"/>
        </w:rPr>
        <w:t>利通区人民法院</w:t>
      </w:r>
      <w:r>
        <w:rPr>
          <w:rFonts w:hint="eastAsia"/>
        </w:rPr>
        <w:t>2021-07-13</w:t>
      </w:r>
    </w:p>
    <w:p w:rsidR="00173B66" w:rsidRDefault="00173B66" w:rsidP="0093769C">
      <w:pPr>
        <w:sectPr w:rsidR="00173B66" w:rsidSect="007658CB">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C9185F" w:rsidRDefault="00C9185F"/>
    <w:sectPr w:rsidR="00C91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8CB" w:rsidRDefault="00C9185F">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8CB" w:rsidRDefault="00C9185F">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8CB" w:rsidRDefault="00C9185F">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8CB" w:rsidRDefault="00C9185F">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3B66"/>
    <w:rsid w:val="00173B66"/>
    <w:rsid w:val="00C918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73B6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73B66"/>
    <w:rPr>
      <w:rFonts w:ascii="黑体" w:eastAsia="黑体" w:hAnsi="宋体" w:cs="Times New Roman"/>
      <w:b/>
      <w:kern w:val="36"/>
      <w:sz w:val="32"/>
      <w:szCs w:val="32"/>
    </w:rPr>
  </w:style>
  <w:style w:type="paragraph" w:styleId="a3">
    <w:name w:val="footer"/>
    <w:basedOn w:val="a"/>
    <w:link w:val="Char"/>
    <w:qFormat/>
    <w:rsid w:val="00173B66"/>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173B66"/>
    <w:rPr>
      <w:rFonts w:ascii="宋体" w:eastAsia="宋体" w:hAnsi="宋体" w:cs="Times New Roman"/>
      <w:b/>
      <w:bCs/>
      <w:i/>
      <w:kern w:val="36"/>
      <w:sz w:val="24"/>
      <w:szCs w:val="18"/>
    </w:rPr>
  </w:style>
  <w:style w:type="paragraph" w:styleId="a4">
    <w:name w:val="header"/>
    <w:basedOn w:val="a"/>
    <w:link w:val="Char0"/>
    <w:qFormat/>
    <w:rsid w:val="00173B66"/>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173B66"/>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Company>微软中国</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2022-08-11T05:33:00Z</dcterms:created>
</cp:coreProperties>
</file>